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62FC4" w14:textId="77777777" w:rsidR="008A7CA2" w:rsidRDefault="004F5179">
      <w:pPr>
        <w:spacing w:line="276" w:lineRule="auto"/>
        <w:ind w:right="-56"/>
        <w:jc w:val="center"/>
        <w:rPr>
          <w:b/>
        </w:rPr>
      </w:pPr>
      <w:r>
        <w:rPr>
          <w:b/>
        </w:rPr>
        <w:t>NOTĂ DE FUNDAMENTARE</w:t>
      </w:r>
    </w:p>
    <w:p w14:paraId="327335F1" w14:textId="77777777" w:rsidR="008A7CA2" w:rsidRDefault="008A7CA2">
      <w:pPr>
        <w:spacing w:line="276" w:lineRule="auto"/>
        <w:ind w:right="-56"/>
        <w:jc w:val="center"/>
      </w:pPr>
    </w:p>
    <w:tbl>
      <w:tblPr>
        <w:tblStyle w:val="a3"/>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992"/>
        <w:gridCol w:w="992"/>
        <w:gridCol w:w="992"/>
        <w:gridCol w:w="993"/>
        <w:gridCol w:w="992"/>
        <w:gridCol w:w="1134"/>
      </w:tblGrid>
      <w:tr w:rsidR="008A7CA2" w14:paraId="49F6E400" w14:textId="77777777">
        <w:trPr>
          <w:jc w:val="center"/>
        </w:trPr>
        <w:tc>
          <w:tcPr>
            <w:tcW w:w="10490" w:type="dxa"/>
            <w:gridSpan w:val="7"/>
            <w:vAlign w:val="center"/>
          </w:tcPr>
          <w:p w14:paraId="08E919D3" w14:textId="77777777" w:rsidR="008A7CA2" w:rsidRDefault="004F5179">
            <w:pPr>
              <w:spacing w:before="120"/>
              <w:jc w:val="center"/>
              <w:rPr>
                <w:b/>
              </w:rPr>
            </w:pPr>
            <w:r>
              <w:rPr>
                <w:b/>
              </w:rPr>
              <w:t xml:space="preserve">Secţiunea 1 </w:t>
            </w:r>
          </w:p>
          <w:p w14:paraId="71905AC3" w14:textId="77777777" w:rsidR="008A7CA2" w:rsidRDefault="004F5179">
            <w:pPr>
              <w:spacing w:line="360" w:lineRule="auto"/>
              <w:jc w:val="center"/>
              <w:rPr>
                <w:b/>
              </w:rPr>
            </w:pPr>
            <w:r>
              <w:rPr>
                <w:b/>
              </w:rPr>
              <w:t>Titlul proiectului de act normativ</w:t>
            </w:r>
          </w:p>
        </w:tc>
      </w:tr>
      <w:tr w:rsidR="008A7CA2" w14:paraId="25F261A6" w14:textId="77777777">
        <w:trPr>
          <w:trHeight w:val="563"/>
          <w:jc w:val="center"/>
        </w:trPr>
        <w:tc>
          <w:tcPr>
            <w:tcW w:w="10490" w:type="dxa"/>
            <w:gridSpan w:val="7"/>
            <w:vAlign w:val="center"/>
          </w:tcPr>
          <w:p w14:paraId="1F95A2E7" w14:textId="77777777" w:rsidR="008A7CA2" w:rsidRDefault="004F5179">
            <w:pPr>
              <w:spacing w:before="120" w:after="120"/>
              <w:jc w:val="center"/>
              <w:rPr>
                <w:b/>
              </w:rPr>
            </w:pPr>
            <w:bookmarkStart w:id="0" w:name="_heading=h.gjdgxs" w:colFirst="0" w:colLast="0"/>
            <w:bookmarkEnd w:id="0"/>
            <w:r>
              <w:rPr>
                <w:b/>
              </w:rPr>
              <w:t xml:space="preserve">Ordonanță de urgență </w:t>
            </w:r>
          </w:p>
          <w:p w14:paraId="4A9735A9" w14:textId="77777777" w:rsidR="008A7CA2" w:rsidRDefault="004F5179">
            <w:pPr>
              <w:spacing w:before="120" w:after="120"/>
              <w:jc w:val="center"/>
              <w:rPr>
                <w:b/>
                <w:i/>
              </w:rPr>
            </w:pPr>
            <w:r>
              <w:rPr>
                <w:b/>
              </w:rPr>
              <w:t xml:space="preserve">pentru modificarea şi completarea Legii energiei electrice şi a gazelor naturale nr. 123/2012,  precum și pentru modificarea și completarea Legii nr. 220/2008 privind stabilirea sistemului de promovare a producerii energiei din surse regenerabile, </w:t>
            </w:r>
          </w:p>
        </w:tc>
      </w:tr>
      <w:tr w:rsidR="008A7CA2" w14:paraId="7B67A0B4" w14:textId="77777777">
        <w:trPr>
          <w:trHeight w:val="525"/>
          <w:jc w:val="center"/>
        </w:trPr>
        <w:tc>
          <w:tcPr>
            <w:tcW w:w="10490" w:type="dxa"/>
            <w:gridSpan w:val="7"/>
            <w:vAlign w:val="center"/>
          </w:tcPr>
          <w:p w14:paraId="5E98DB32" w14:textId="77777777" w:rsidR="008A7CA2" w:rsidRDefault="004F5179">
            <w:pPr>
              <w:spacing w:before="120"/>
              <w:jc w:val="center"/>
              <w:rPr>
                <w:b/>
              </w:rPr>
            </w:pPr>
            <w:r>
              <w:rPr>
                <w:b/>
              </w:rPr>
              <w:t>Secţiunea a 2-a</w:t>
            </w:r>
          </w:p>
          <w:p w14:paraId="291DE85B" w14:textId="77777777" w:rsidR="008A7CA2" w:rsidRDefault="004F5179">
            <w:pPr>
              <w:spacing w:line="360" w:lineRule="auto"/>
              <w:jc w:val="center"/>
              <w:rPr>
                <w:b/>
              </w:rPr>
            </w:pPr>
            <w:r>
              <w:rPr>
                <w:b/>
              </w:rPr>
              <w:t>Motivul emiterii actului normativ</w:t>
            </w:r>
          </w:p>
        </w:tc>
      </w:tr>
      <w:tr w:rsidR="008A7CA2" w14:paraId="7EBB2C70" w14:textId="77777777">
        <w:trPr>
          <w:trHeight w:val="481"/>
          <w:jc w:val="center"/>
        </w:trPr>
        <w:tc>
          <w:tcPr>
            <w:tcW w:w="10490" w:type="dxa"/>
            <w:gridSpan w:val="7"/>
          </w:tcPr>
          <w:p w14:paraId="518D1BB1" w14:textId="77777777" w:rsidR="008A7CA2" w:rsidRDefault="004F5179">
            <w:pPr>
              <w:spacing w:after="240"/>
              <w:rPr>
                <w:b/>
              </w:rPr>
            </w:pPr>
            <w:r>
              <w:rPr>
                <w:b/>
              </w:rPr>
              <w:t>2.1. Sursa proiectului de act normativ</w:t>
            </w:r>
          </w:p>
          <w:p w14:paraId="2D6C2A59" w14:textId="77777777" w:rsidR="008A7CA2" w:rsidRDefault="004F5179">
            <w:pPr>
              <w:spacing w:after="120" w:line="276" w:lineRule="auto"/>
              <w:jc w:val="both"/>
            </w:pPr>
            <w:r>
              <w:t>Unul dintre obiectivele Programului de guvernare 2023-2024 în domeniul energetic îl reprezintă implementarea unei noi politici energetice naționale bazată pe asigurarea securității energetice, a tranziției verzi, precum și promovarea producției de energie electrică din surse regenerabile și a tehnologiilor inovatoare.</w:t>
            </w:r>
          </w:p>
          <w:p w14:paraId="29A15207" w14:textId="77777777" w:rsidR="008A7CA2" w:rsidRDefault="004F5179">
            <w:pPr>
              <w:spacing w:after="120" w:line="276" w:lineRule="auto"/>
              <w:jc w:val="both"/>
            </w:pPr>
            <w:r>
              <w:t>O nouă politică energetică națională trebuie să ia în considerare nu numai aspecte legate de producția de energie și eficiența energetică, ci și de stocarea energiei, în contextul în care dezvoltarea producerii de energie din surse regenerabile, finanțată prin diverse mecanisme de sprijin (Planul Național de Redresare și Reziliență, Fondul pentru Modernizare, etc.) a luat un avânt fără precedent. Dezvoltarea surselor regenerabile de energie conduce, însă, la creșterea producției de energie verde cu un grad mare de volatilitate, impunându-se luarea de măsuri pentru echilibrarea balanței energetice producție-consum. În acest context se încadrează și obiectivele programului de guvernare privind:</w:t>
            </w:r>
          </w:p>
          <w:p w14:paraId="2CD4AB23" w14:textId="77777777" w:rsidR="008A7CA2" w:rsidRDefault="004F5179">
            <w:pPr>
              <w:spacing w:after="120" w:line="276" w:lineRule="auto"/>
              <w:jc w:val="both"/>
            </w:pPr>
            <w:r>
              <w:t>- realizarea de investiții în extinderea rețelei de transport a energiei electrice pentru a crește capacitatea de interconectare cu statele vecine și a putea prelua capacitatea suplimentară de producție de energie electrică din surse noi sau regenerabile, precum și</w:t>
            </w:r>
          </w:p>
          <w:p w14:paraId="75B63A53" w14:textId="77777777" w:rsidR="008A7CA2" w:rsidRDefault="004F5179">
            <w:pPr>
              <w:spacing w:after="120" w:line="276" w:lineRule="auto"/>
              <w:jc w:val="both"/>
            </w:pPr>
            <w:r>
              <w:rPr>
                <w:i/>
              </w:rPr>
              <w:t xml:space="preserve">- </w:t>
            </w:r>
            <w:r>
              <w:t>participarea activă în cadrul inițiativelor europene ce vizează investițiile în tehnologii de stocare, promovarea și utilizarea pe scară largă a bateriilor electrice.</w:t>
            </w:r>
          </w:p>
          <w:p w14:paraId="6AE86F78" w14:textId="77777777" w:rsidR="008A7CA2" w:rsidRDefault="004F5179">
            <w:pPr>
              <w:spacing w:after="120" w:line="276" w:lineRule="auto"/>
              <w:jc w:val="both"/>
            </w:pPr>
            <w:bookmarkStart w:id="1" w:name="_heading=h.30j0zll" w:colFirst="0" w:colLast="0"/>
            <w:bookmarkEnd w:id="1"/>
            <w:r>
              <w:t xml:space="preserve">Astfel prin Rezoluția Parlamentului European </w:t>
            </w:r>
            <w:r>
              <w:rPr>
                <w:b/>
              </w:rPr>
              <w:t>referitoare la o abordare europeană globală privind stocarea energiei</w:t>
            </w:r>
            <w:r>
              <w:t xml:space="preserve"> nr. </w:t>
            </w:r>
            <w:r>
              <w:rPr>
                <w:b/>
              </w:rPr>
              <w:t>(</w:t>
            </w:r>
            <w:hyperlink r:id="rId9">
              <w:r>
                <w:rPr>
                  <w:b/>
                  <w:color w:val="0000FF"/>
                  <w:u w:val="single"/>
                </w:rPr>
                <w:t>2019/2189(INI)</w:t>
              </w:r>
            </w:hyperlink>
            <w:r>
              <w:rPr>
                <w:b/>
              </w:rPr>
              <w:t>), se recunosc următoarele:</w:t>
            </w:r>
          </w:p>
          <w:p w14:paraId="72094F65" w14:textId="77777777" w:rsidR="008A7CA2" w:rsidRDefault="004F5179">
            <w:pPr>
              <w:spacing w:after="120" w:line="276" w:lineRule="auto"/>
              <w:jc w:val="both"/>
            </w:pPr>
            <w:r>
              <w:t>- acumularea prin pompare reprezintă peste 90% din capacitatea de stocare a UE, astfel că, în prezent, acumularea prin pompare joacă un rol important în echilibrarea cererii și ofertei de energie, a stocării la scară mare cu o eficiență bidirecțională ridicată și a flexibilității pe termen scurt și mediu cu o capacitate importantă;</w:t>
            </w:r>
          </w:p>
          <w:p w14:paraId="6A37B8D2" w14:textId="77777777" w:rsidR="008A7CA2" w:rsidRDefault="004F5179">
            <w:pPr>
              <w:spacing w:after="120" w:line="276" w:lineRule="auto"/>
              <w:jc w:val="both"/>
            </w:pPr>
            <w:r>
              <w:t>- tehnologiile de stocare a energiei pot oferi oportunități importante pentru decarbonizarea sectorului energetic, făcând posibilă stocarea căldurii sau a frigului timp de câteva luni prin absorbirea energiei din surse regenerabile prin pompele de căldură de nivel industrial și cu ajutorul biomasei, al biogazelor sau al energiei geotermale, cât și prin oferirea de servicii de flexibilitate, de exemplu, pentru un sistem de energie electrică dominat de energia din surse regenerabile;</w:t>
            </w:r>
          </w:p>
          <w:p w14:paraId="76BA361D" w14:textId="77777777" w:rsidR="008A7CA2" w:rsidRDefault="004F5179">
            <w:pPr>
              <w:spacing w:after="120" w:line="276" w:lineRule="auto"/>
              <w:jc w:val="both"/>
            </w:pPr>
            <w:r>
              <w:lastRenderedPageBreak/>
              <w:t>- clădirile bine izolate, rețelele de încălzire centralizată și instalațiile de stocare dedicate pot fi folosite pentru stocare pentru diferite perioade de timp;</w:t>
            </w:r>
          </w:p>
          <w:p w14:paraId="60BAF0F7" w14:textId="77777777" w:rsidR="008A7CA2" w:rsidRDefault="004F5179">
            <w:pPr>
              <w:spacing w:after="120" w:line="276" w:lineRule="auto"/>
              <w:jc w:val="both"/>
            </w:pPr>
            <w:r>
              <w:t xml:space="preserve">Potrivit </w:t>
            </w:r>
            <w:r>
              <w:rPr>
                <w:b/>
                <w:i/>
              </w:rPr>
              <w:t>Planului naţional integrat în domeniul energiei şi schimbărilor climatice 2021-2030 (PNIESC), aprobat prin H.G. nr. 1076/2021</w:t>
            </w:r>
            <w:r>
              <w:t>, dezvoltarea capacităţilor de stocare a energiei electrice va contribui la integrarea SRE în SEN, având în vedere caracterul intermitent/variabil al acestora. Specific, capacităţile de stocare vor contribui la reducerea decalajelor dintre cererea şi oferta de energie electrică. De asemenea, dezvoltarea capacităților de stocare va conduce la creşterea competitivităţii pieţei interne de energie, cu impact pozitiv asupra preţurilor energiei către clienţii finali.</w:t>
            </w:r>
          </w:p>
        </w:tc>
      </w:tr>
      <w:tr w:rsidR="008A7CA2" w14:paraId="4AF31B94" w14:textId="77777777">
        <w:trPr>
          <w:trHeight w:val="831"/>
          <w:jc w:val="center"/>
        </w:trPr>
        <w:tc>
          <w:tcPr>
            <w:tcW w:w="10490" w:type="dxa"/>
            <w:gridSpan w:val="7"/>
          </w:tcPr>
          <w:p w14:paraId="6DA4B66D" w14:textId="77777777" w:rsidR="008A7CA2" w:rsidRDefault="004F5179" w:rsidP="00814206">
            <w:pPr>
              <w:spacing w:after="120" w:line="276" w:lineRule="auto"/>
              <w:rPr>
                <w:b/>
              </w:rPr>
            </w:pPr>
            <w:r>
              <w:rPr>
                <w:b/>
              </w:rPr>
              <w:lastRenderedPageBreak/>
              <w:t>2.2. Descrierea situaţiei actuale</w:t>
            </w:r>
          </w:p>
          <w:p w14:paraId="62F7699C" w14:textId="77777777" w:rsidR="008A7CA2" w:rsidRDefault="004F5179" w:rsidP="00814206">
            <w:pPr>
              <w:pBdr>
                <w:top w:val="nil"/>
                <w:left w:val="nil"/>
                <w:bottom w:val="nil"/>
                <w:right w:val="nil"/>
                <w:between w:val="nil"/>
              </w:pBdr>
              <w:shd w:val="clear" w:color="auto" w:fill="FFFFFF"/>
              <w:spacing w:after="120" w:line="276" w:lineRule="auto"/>
              <w:jc w:val="both"/>
              <w:rPr>
                <w:color w:val="000000"/>
              </w:rPr>
            </w:pPr>
            <w:r>
              <w:rPr>
                <w:color w:val="000000"/>
              </w:rPr>
              <w:t>Funcționarea Sistemului Electroenergetic Național (SEN) în condiții de siguranță și stabilitate în concordanță cu cerințele impuse de standardele de calitate, nivelul de performanță și standardele ENTSO – E, reprezintă un obiectiv fundamental asumat de C.N.T.E.E. Transelectrica S.A., asigurând în acest fel, atât nivelul corespunzător de adecvanță a Sistemului, funcționarea eficientă a pieței de energie, cât și garantarea accesului la rețeaua electrică de transport (RET) în condiții de transparență și echidistanță pentru toți participanții la rețea.</w:t>
            </w:r>
          </w:p>
          <w:p w14:paraId="489B62CF" w14:textId="77777777" w:rsidR="008A7CA2" w:rsidRDefault="004F5179" w:rsidP="00814206">
            <w:pPr>
              <w:pBdr>
                <w:top w:val="nil"/>
                <w:left w:val="nil"/>
                <w:bottom w:val="nil"/>
                <w:right w:val="nil"/>
                <w:between w:val="nil"/>
              </w:pBdr>
              <w:shd w:val="clear" w:color="auto" w:fill="FFFFFF"/>
              <w:spacing w:after="120" w:line="276" w:lineRule="auto"/>
              <w:jc w:val="both"/>
              <w:rPr>
                <w:color w:val="000000"/>
              </w:rPr>
            </w:pPr>
            <w:r>
              <w:rPr>
                <w:color w:val="000000"/>
              </w:rPr>
              <w:t xml:space="preserve">C.N.T.E.E. Transelectrica S.A. este singurul furnizor al serviciului de sistem, acesta fiind realizat în beneficiul tuturor utilizatorilor RET cu scopul de a asigura funcționarea sigură și stabilă a SEN, funcționarea eficientă a pieței de energie și menținerea în permanență a parametrilor normați ai energiei electrice la toți participanții din SEN, în conformitate cu normele în vigoare. </w:t>
            </w:r>
          </w:p>
          <w:p w14:paraId="0C2A7093" w14:textId="77777777" w:rsidR="008A7CA2" w:rsidRDefault="004F5179" w:rsidP="00814206">
            <w:pPr>
              <w:pBdr>
                <w:top w:val="nil"/>
                <w:left w:val="nil"/>
                <w:bottom w:val="nil"/>
                <w:right w:val="nil"/>
                <w:between w:val="nil"/>
              </w:pBdr>
              <w:shd w:val="clear" w:color="auto" w:fill="FFFFFF"/>
              <w:spacing w:after="120" w:line="276" w:lineRule="auto"/>
              <w:jc w:val="both"/>
              <w:rPr>
                <w:color w:val="000000"/>
              </w:rPr>
            </w:pPr>
            <w:r>
              <w:rPr>
                <w:color w:val="000000"/>
              </w:rPr>
              <w:t xml:space="preserve">În ultima perioadă s-a putut constata modificarea substanțială a structurii de producție din SEN în urma integrării în ultimii ani a unui număr tot mai mare de centrale electrice regenerabile (eoliene si fotovoltaice), cu o pondere tot mai importantă în puterea totală instalată în SEN, centrale al căror nivel de certitudine privind asigurarea siguranței în funcționare a SEN este mult mai mic decât cel al celor clasice, proces care se află în continuă evoluție. De asemenea, se observă creșterea semnificativă a producției de energie generată de către centralele electrice eoliene și fotovoltaice, fapt care conduce, pe de o parte, la scoaterea de pe piață în mod implicit a unor grupuri clasice a căror nivel de certitudine privind asigurarea rezervelor de sistem este net superior celor din surse regenerabile și, pe de altă parte, la limitarea funcționării acestora, trecerea lor în conservare sau dezafectarea acestora ca urmare a îndeplinirii cerințelor asumate prin Planul Național Integrat Energie Schimbări Climatice (PNIESC), sau prin Planul Național de Redresare și Reziliență (PNRR).. Aceste evoluții conduc la indisponibilizarea unor cantități semnificative de rezerve de sistem pe care acestea le puneau la dispoziția SEN. </w:t>
            </w:r>
          </w:p>
          <w:p w14:paraId="532D74EB" w14:textId="77777777" w:rsidR="008A7CA2" w:rsidRDefault="004F5179" w:rsidP="00814206">
            <w:pPr>
              <w:pBdr>
                <w:top w:val="nil"/>
                <w:left w:val="nil"/>
                <w:bottom w:val="nil"/>
                <w:right w:val="nil"/>
                <w:between w:val="nil"/>
              </w:pBdr>
              <w:shd w:val="clear" w:color="auto" w:fill="FFFFFF"/>
              <w:spacing w:after="120" w:line="276" w:lineRule="auto"/>
              <w:jc w:val="both"/>
              <w:rPr>
                <w:color w:val="000000"/>
              </w:rPr>
            </w:pPr>
            <w:r>
              <w:rPr>
                <w:color w:val="000000"/>
              </w:rPr>
              <w:t>Funcționarea Centralelor Electrice Eoliene (CEE) și a Centralelor Electrice Fotovoltaice (CEF) prezintă variații foarte mari de putere (la creștere cât și la reducere), atât din punctul de vedere al amplitudinii, cât și a vitezei de variație, atât în timpul vârfului de sarcină cât și a golului de sarcină. Suprapunerea defavorabilă a efectelor acestor variații peste caracterul natural al consumului, respectiv producției (vârf sau gol de sarcină), conduce la creșterea semnificativă a costurilor cu echilibrarea SEN.</w:t>
            </w:r>
          </w:p>
          <w:p w14:paraId="11EB3A15" w14:textId="77777777" w:rsidR="008A7CA2" w:rsidRDefault="004F5179" w:rsidP="00814206">
            <w:pPr>
              <w:pBdr>
                <w:top w:val="nil"/>
                <w:left w:val="nil"/>
                <w:bottom w:val="nil"/>
                <w:right w:val="nil"/>
                <w:between w:val="nil"/>
              </w:pBdr>
              <w:shd w:val="clear" w:color="auto" w:fill="FFFFFF"/>
              <w:spacing w:after="120" w:line="276" w:lineRule="auto"/>
              <w:jc w:val="both"/>
              <w:rPr>
                <w:color w:val="000000"/>
              </w:rPr>
            </w:pPr>
            <w:r>
              <w:rPr>
                <w:color w:val="000000"/>
              </w:rPr>
              <w:t xml:space="preserve">Astfel, în prezent, se poate constata un deficit al capacităților energetice capabile să asigure echilibrarea SEN, din cauza lipsei, în principal, a centralelor termoelectrice cu funcționare în ciclu combinat și a soluțiilor de stocare în baterii, astfel încât continuarea procesului de intensificare a implementării surselor regenerabile de energie necesită a fi în stânsă corelare cu soluțiile de stocare a energiei, precum bateriile și/sau stocarea hidro. </w:t>
            </w:r>
          </w:p>
          <w:p w14:paraId="082001E3" w14:textId="77777777" w:rsidR="008A7CA2" w:rsidRDefault="004F5179" w:rsidP="00814206">
            <w:pPr>
              <w:pBdr>
                <w:top w:val="nil"/>
                <w:left w:val="nil"/>
                <w:bottom w:val="nil"/>
                <w:right w:val="nil"/>
                <w:between w:val="nil"/>
              </w:pBdr>
              <w:shd w:val="clear" w:color="auto" w:fill="FFFFFF"/>
              <w:spacing w:after="120" w:line="276" w:lineRule="auto"/>
              <w:jc w:val="both"/>
              <w:rPr>
                <w:color w:val="000000"/>
              </w:rPr>
            </w:pPr>
            <w:r>
              <w:rPr>
                <w:color w:val="000000"/>
              </w:rPr>
              <w:lastRenderedPageBreak/>
              <w:t>În aceste condiții, caracterul intermitent al surselor regenerabile de energie și nevoia de echilibrare a acestora, precum și de echilibrare a cererii de energie, reprezintă provocări semnificative la nivelul Sistemului Electroenergetic Național.</w:t>
            </w:r>
          </w:p>
          <w:p w14:paraId="4EF5152A" w14:textId="77777777" w:rsidR="008A7CA2" w:rsidRDefault="004F5179" w:rsidP="00814206">
            <w:pPr>
              <w:widowControl w:val="0"/>
              <w:pBdr>
                <w:top w:val="nil"/>
                <w:left w:val="nil"/>
                <w:bottom w:val="nil"/>
                <w:right w:val="nil"/>
                <w:between w:val="nil"/>
              </w:pBdr>
              <w:spacing w:after="120" w:line="276" w:lineRule="auto"/>
              <w:jc w:val="both"/>
              <w:rPr>
                <w:color w:val="000000"/>
              </w:rPr>
            </w:pPr>
            <w:r>
              <w:rPr>
                <w:color w:val="000000"/>
              </w:rPr>
              <w:t>Din punct de vedere legislativ, principalul act normativ primar care guvernează sectorul electroenergetic românesc, Legea energiei electrice și a gazelor naturale nr.123/2012, cu modificările și completările ulterioare, stabilește cadrul de reglementare pentru desfăşurarea activităţilor în sectorul energiei electrice şi al energiei electrice produse în cogenerare, în vederea utilizării optime a resurselor primare de energie în condiţii de accesibilitate, disponibilitate şi suportabilitate şi cu respectarea normelor de siguranţă, calitate şi protecţie a mediului, dar nu are prevederi care să încurajeze realizarea investițiilor în soluții de stocare a energiei, fapt care, în contextul dezvoltării accentuate a surselor regenerabile de energie (SRE), a devenit o necesitate urgentă.</w:t>
            </w:r>
          </w:p>
          <w:p w14:paraId="2B39D2D6" w14:textId="77777777" w:rsidR="008A7CA2" w:rsidRDefault="004F5179" w:rsidP="00814206">
            <w:pPr>
              <w:widowControl w:val="0"/>
              <w:pBdr>
                <w:top w:val="nil"/>
                <w:left w:val="nil"/>
                <w:bottom w:val="nil"/>
                <w:right w:val="nil"/>
                <w:between w:val="nil"/>
              </w:pBdr>
              <w:spacing w:after="120" w:line="276" w:lineRule="auto"/>
              <w:jc w:val="both"/>
              <w:rPr>
                <w:color w:val="000000"/>
              </w:rPr>
            </w:pPr>
            <w:r>
              <w:rPr>
                <w:color w:val="000000"/>
              </w:rPr>
              <w:t>Elementele obiective ale situaţiei extraordinare a căror reglementare nu poate fi amânată sunt următoarele:</w:t>
            </w:r>
          </w:p>
          <w:p w14:paraId="645A28C4" w14:textId="77777777" w:rsidR="008A7CA2" w:rsidRDefault="004F5179" w:rsidP="00814206">
            <w:pPr>
              <w:spacing w:after="120" w:line="276" w:lineRule="auto"/>
              <w:jc w:val="both"/>
            </w:pPr>
            <w:r>
              <w:t>- întrucât, pentru a asigura stabilitatea tensiunii și a frecvenței, ar trebui acordată o atenție deosebită stabilității SEN, cu impact pozitiv asupra funcționării rețelei electrice europene și creșterea ponderii opțiunilor de flexibilitate prin capabilitățile de stocare a energiei;</w:t>
            </w:r>
          </w:p>
          <w:p w14:paraId="71DADCEA" w14:textId="77777777" w:rsidR="008A7CA2" w:rsidRDefault="004F5179" w:rsidP="00814206">
            <w:pPr>
              <w:spacing w:after="120" w:line="276" w:lineRule="auto"/>
              <w:jc w:val="both"/>
            </w:pPr>
            <w:r>
              <w:t>- prin Pactul Ecologic European, Uniunea Europeană s-a angajat să realizeze decarbonizarea economiei europene, iar integrarea surselor intermitente și variabile de energie regenerabilă, precum energia eoliană și solară, necesită obținerea unei flexibilități mai mari în ceea ce privește cererea și oferta de energie pentru a stabiliza Sistemul Electroenergetic Național, fapt care ar preveni fluctuațiile extreme ale prețurilor, menținând atât un preț accesibil al energiei cât și siguranța aprovizionării;</w:t>
            </w:r>
          </w:p>
          <w:p w14:paraId="7459E48E" w14:textId="77777777" w:rsidR="008A7CA2" w:rsidRDefault="004F5179" w:rsidP="00814206">
            <w:pPr>
              <w:spacing w:after="120" w:line="276" w:lineRule="auto"/>
              <w:jc w:val="both"/>
            </w:pPr>
            <w:r>
              <w:t xml:space="preserve">- stocarea energiei pe termen scurt și stocarea sezonieră pe mai multe luni reprezintă un deziderat care asigură o flexibilitate sporită sistemului electroenergetic, iar aceasta poate contribui în mod esențial la reducerea diferenței dintre valorile extreme ale prețurilor la energia electrică; </w:t>
            </w:r>
          </w:p>
          <w:p w14:paraId="37A21CFD" w14:textId="77777777" w:rsidR="008A7CA2" w:rsidRDefault="004F5179" w:rsidP="00814206">
            <w:pPr>
              <w:spacing w:after="120" w:line="276" w:lineRule="auto"/>
              <w:jc w:val="both"/>
            </w:pPr>
            <w:r>
              <w:t>- modificarea și completarea cadrului de reglementare primar pentru realizarea unor unități de stocare a energiei electrice, în acord cu prevederile Directivei (UE) 2019/944 a Parlamentului European și a Consiliului din 5 iunie 2019 privind normele comune pentru piața internă de energie și de modificare a Directivei 2012/27/UE și Regulamentul (UE) 2019/943</w:t>
            </w:r>
            <w:r>
              <w:rPr>
                <w:b/>
              </w:rPr>
              <w:t> </w:t>
            </w:r>
            <w:r>
              <w:t>a Parlamentului European și a Consiliului din 5 iunie 2019 privind piaţa internă de energie electrică, a devenit absolut necesară în contextul actual în care sunt menținute o serie de măsuri de sprijin pentru consumatorii finali de energie electrică până la 31 martie 2025;</w:t>
            </w:r>
          </w:p>
          <w:p w14:paraId="613EE40F" w14:textId="77777777" w:rsidR="008A7CA2" w:rsidRDefault="004F5179" w:rsidP="00814206">
            <w:pPr>
              <w:spacing w:after="120" w:line="276" w:lineRule="auto"/>
              <w:jc w:val="both"/>
            </w:pPr>
            <w:r>
              <w:t>- prin PNRR, Componenta C6.Energie, este sprijinită atingerea țintelor asumate prin PNIESC, respectiv instalarea a 950 MW în centrale eoliene și fotovoltaice până la 30 iunie 2024, înlocuirea centralelor care folosesc cărbunele drept combustibil cu centrale pe gaze sau gaze obținute din surse regenerabile, cu o capacitate de 1.300 MW până în anul 2025 și instalarea de capacități de stocare a energiei electrice cu o putere totală de 240 MW și 480 MW până la sfârșitul anului 2025.</w:t>
            </w:r>
          </w:p>
          <w:p w14:paraId="44BFFE99" w14:textId="77777777" w:rsidR="008A7CA2" w:rsidRDefault="004F5179" w:rsidP="00814206">
            <w:pPr>
              <w:spacing w:after="120" w:line="276" w:lineRule="auto"/>
              <w:jc w:val="both"/>
            </w:pPr>
            <w:r>
              <w:t>În prezent, România se confruntă cu riscuri crescute legate de aprovizionarea cu energie din cauza tensiunilor geopolitice generate de războiul din Ucraina și a creșterii dependenței de resurse energetice importate din afara Uniunii Europene, în special din Federația Rusă. Această situație amplifică nevoia de a dezvolta și moderniza rapid infrastructura energetică națională, pentru a reduce vulnerabilitățile energetice.</w:t>
            </w:r>
          </w:p>
          <w:p w14:paraId="149703AF" w14:textId="77777777" w:rsidR="008A7CA2" w:rsidRDefault="004F5179" w:rsidP="00814206">
            <w:pPr>
              <w:spacing w:after="120" w:line="276" w:lineRule="auto"/>
              <w:jc w:val="both"/>
            </w:pPr>
            <w:r>
              <w:t xml:space="preserve">Uniunea Europeană a impus ținte stricte de reducere a emisiilor de carbon și de tranziție la surse de energie regenerabilă. România este obligată să îndeplinească aceste obiective prin dezvoltarea capacităților de </w:t>
            </w:r>
            <w:r>
              <w:lastRenderedPageBreak/>
              <w:t>producție din surse regenerabile (eoliene, solare) și prin proiecte de stocare a energiei. În lipsa unor măsuri urgente, întârzierile în implementarea acestor proiecte ar aduce sancțiuni economice severe și ar afecta obiectivele naționale de securitate energetică.</w:t>
            </w:r>
          </w:p>
          <w:p w14:paraId="00750AB9" w14:textId="77777777" w:rsidR="008A7CA2" w:rsidRDefault="004F5179" w:rsidP="00814206">
            <w:pPr>
              <w:spacing w:after="120" w:line="276" w:lineRule="auto"/>
              <w:jc w:val="both"/>
            </w:pPr>
            <w:r>
              <w:t>Dacă aceste proiecte de importanță națională nu sunt declarate lucrări de interes public național și nu primesc un cadru legal clar și imediat aplicabil, România riscă să se confrunte cu un deficit energetic semnificativ. Acesta ar afecta stabilitatea SEN și ar genera creșteri de prețuri, costuri suplimentare pentru consumatori și riscuri majore pentru securitatea economică.</w:t>
            </w:r>
          </w:p>
          <w:p w14:paraId="25290CE3" w14:textId="77777777" w:rsidR="008A7CA2" w:rsidRDefault="004F5179" w:rsidP="00814206">
            <w:pPr>
              <w:spacing w:after="120" w:line="276" w:lineRule="auto"/>
              <w:jc w:val="both"/>
            </w:pPr>
            <w:r>
              <w:t>Proiectele de importanță națională necesită acces urgent la terenuri, inclusiv scoaterea acestora din circuitul agricol sau forestier, în condițiile legii. Amânarea acestui proces din cauza lipsei unei reglementări specifice ar întârzia proiecte esențiale pentru modernizarea infrastructurii energetice și ar crește vulnerabilitatea sistemului energetic național.</w:t>
            </w:r>
          </w:p>
          <w:p w14:paraId="32E0245A" w14:textId="77777777" w:rsidR="008A7CA2" w:rsidRDefault="004F5179" w:rsidP="00814206">
            <w:pPr>
              <w:spacing w:after="120" w:line="276" w:lineRule="auto"/>
              <w:jc w:val="both"/>
            </w:pPr>
            <w:r>
              <w:t>România se confruntă cu o infrastructură energetică învechită și insuficientă pentru a face față creșterii cererii de energie electrică, mai ales în contextul creșterii populației și al dezvoltării economice. Proiectele de importanță națională în domeniul energiei electrice, care includ centralele fotovoltaice, eoliene și alte surse regenerabile, precum și capacitățile de stocare a energiei, sunt cruciale pentru modernizarea Sistemului Electroenergetic Național (SEN).</w:t>
            </w:r>
          </w:p>
          <w:p w14:paraId="5BDF6566" w14:textId="77777777" w:rsidR="008A7CA2" w:rsidRDefault="004F5179" w:rsidP="00814206">
            <w:pPr>
              <w:spacing w:after="120" w:line="276" w:lineRule="auto"/>
              <w:jc w:val="both"/>
            </w:pPr>
            <w:r>
              <w:t>Fără aceste proiecte, există un risc real ca SEN să devină suprasolicitat, lucru care poate duce la defecțiuni tehnice, căderi masive de tensiune sau chiar la pene de curent pe scară largă. În plus, SEN se confruntă deja cu presiuni majore, inclusiv din cauza integrării unor surse de energie intermitente (precum energia eoliană și solară), care necesită echilibrarea cererii și ofertei. Proiectele de producere și stocare a energiei devin astfel esențiale pentru evitarea dezechilibrelor de pe piața energetică și pentru asigurarea unei aprovizionări stabile și continue cu energie.</w:t>
            </w:r>
          </w:p>
          <w:p w14:paraId="2441F44D" w14:textId="77777777" w:rsidR="008A7CA2" w:rsidRDefault="004F5179" w:rsidP="00814206">
            <w:pPr>
              <w:spacing w:after="120" w:line="276" w:lineRule="auto"/>
              <w:jc w:val="both"/>
            </w:pPr>
            <w:r>
              <w:t>Se observă o întârziere a implementării acestor măsuri  care duce la pierderi economice semnificative, descurajează investițiile în sectorul energetic și afectează obiectivele de securitate energetică și sustenabilitate ale României, atât pe termen scurt, cât și pe termen lung,</w:t>
            </w:r>
          </w:p>
          <w:p w14:paraId="45C37273" w14:textId="77777777" w:rsidR="008A7CA2" w:rsidRDefault="004F5179" w:rsidP="00814206">
            <w:pPr>
              <w:spacing w:after="120" w:line="276" w:lineRule="auto"/>
              <w:jc w:val="both"/>
            </w:pPr>
            <w:r>
              <w:t>Reglementarea clară a cadrului legislativ pentru evitarea situațiilor de dublă taxare a energiei stocate este urgentă, deoarece aceste taxe se aplică atât la momentul stocării, cât și la momentul reintroducerii energiei în Sistemul Energetic Național. Această dublă taxare reprezintă un obstacol semnificativ în dezvoltarea capacităților de stocare a energiei electrice, care sunt critice pentru echilibrarea cererii și ofertei pe piața de energie. Dublarea acestor costuri afectează grav investițiile în infrastructura de stocare a energiei și viabilitatea proiectelor de acest tip, în condițiile în care flexibilitatea sistemului energetic depinde esențial de aceste capacități. Reglementările europene promovează eliminarea dublei taxări și stimulează dezvoltarea tehnologiilor de stocare a energiei pentru a asigura tranziția către o economie cu emisii reduse de carbon, iar legislația națională necesită urgent aliniere la aceste norme.</w:t>
            </w:r>
          </w:p>
          <w:p w14:paraId="0E8922A6" w14:textId="77777777" w:rsidR="008A7CA2" w:rsidRDefault="004F5179" w:rsidP="00814206">
            <w:pPr>
              <w:spacing w:after="120" w:line="276" w:lineRule="auto"/>
              <w:jc w:val="both"/>
            </w:pPr>
            <w:r>
              <w:t>Necesitatea imediată a măsurilor de modernizare și diversificare a surselor de energie, prin instalarea de noi capacități de producție din surse regenerabile și dezvoltarea capacităților de stocare a energiei electrice, care permit echilibrarea Sistemului Energetic Național și atenuarea fluctuațiilor sezoniere ale producției și consumului de energie, inclusiv prin stocare sezonieră pe termen lung, reprezintă o realitate pentru sectorul energetic național care, dacă nu va fi reglementată urgent, conduce la creșterea prețurilor la energie.</w:t>
            </w:r>
          </w:p>
          <w:p w14:paraId="728DF4BE" w14:textId="4CC09E6C" w:rsidR="008A7CA2" w:rsidRDefault="004F5179" w:rsidP="00814206">
            <w:pPr>
              <w:spacing w:after="120" w:line="276" w:lineRule="auto"/>
              <w:jc w:val="both"/>
              <w:rPr>
                <w:color w:val="000000"/>
              </w:rPr>
            </w:pPr>
            <w:r>
              <w:t xml:space="preserve">În contextul geopolitic actual, inclusiv tensiunile generate de războiul din Ucraina, care afectează stabilitatea aprovizionării cu energie în Europa și subliniază necesitatea reducerii dependenței de resursele energetice </w:t>
            </w:r>
            <w:r>
              <w:lastRenderedPageBreak/>
              <w:t>importate din afara Uniunii Europene, în special din Federația Rusă. Totodată, constatăm nevoia urgentă de a consolida securitatea energetică a României prin măsuri imediate, aceasta fiind parte componentă a securității naționale.</w:t>
            </w:r>
          </w:p>
        </w:tc>
      </w:tr>
      <w:tr w:rsidR="008A7CA2" w14:paraId="3622938B" w14:textId="77777777">
        <w:trPr>
          <w:jc w:val="center"/>
        </w:trPr>
        <w:tc>
          <w:tcPr>
            <w:tcW w:w="10490" w:type="dxa"/>
            <w:gridSpan w:val="7"/>
          </w:tcPr>
          <w:p w14:paraId="6B75CEA9" w14:textId="77777777" w:rsidR="008A7CA2" w:rsidRPr="002452C1" w:rsidRDefault="004F5179" w:rsidP="00814206">
            <w:pPr>
              <w:spacing w:after="120" w:line="276" w:lineRule="auto"/>
              <w:jc w:val="both"/>
              <w:rPr>
                <w:b/>
              </w:rPr>
            </w:pPr>
            <w:r w:rsidRPr="002452C1">
              <w:rPr>
                <w:b/>
              </w:rPr>
              <w:lastRenderedPageBreak/>
              <w:t>2.3. Schimbări preconizate</w:t>
            </w:r>
          </w:p>
          <w:p w14:paraId="218617B1" w14:textId="77777777" w:rsidR="008A7CA2" w:rsidRPr="002452C1" w:rsidRDefault="004F5179" w:rsidP="00814206">
            <w:pPr>
              <w:widowControl w:val="0"/>
              <w:pBdr>
                <w:top w:val="nil"/>
                <w:left w:val="nil"/>
                <w:bottom w:val="nil"/>
                <w:right w:val="nil"/>
                <w:between w:val="nil"/>
              </w:pBdr>
              <w:spacing w:after="120" w:line="276" w:lineRule="auto"/>
              <w:jc w:val="both"/>
              <w:rPr>
                <w:color w:val="000000"/>
              </w:rPr>
            </w:pPr>
            <w:r w:rsidRPr="002452C1">
              <w:rPr>
                <w:color w:val="000000"/>
              </w:rPr>
              <w:t xml:space="preserve">Implementarea de soluții privind stocarea energiei electrice este necesară pentru eficientizarea consumului și remedierea </w:t>
            </w:r>
            <w:r w:rsidRPr="002452C1">
              <w:t>fluctuațiilor</w:t>
            </w:r>
            <w:r w:rsidRPr="002452C1">
              <w:rPr>
                <w:color w:val="000000"/>
              </w:rPr>
              <w:t xml:space="preserve"> majore de producție, crescând capacitatea de integrare a energiei provenite din surse regenerabile, de natură variabilă.</w:t>
            </w:r>
          </w:p>
          <w:p w14:paraId="3047A32A" w14:textId="77777777" w:rsidR="008A7CA2" w:rsidRPr="002452C1" w:rsidRDefault="004F5179" w:rsidP="00814206">
            <w:pPr>
              <w:pBdr>
                <w:top w:val="nil"/>
                <w:left w:val="nil"/>
                <w:bottom w:val="nil"/>
                <w:right w:val="nil"/>
                <w:between w:val="nil"/>
              </w:pBdr>
              <w:shd w:val="clear" w:color="auto" w:fill="FFFFFF"/>
              <w:spacing w:after="120" w:line="276" w:lineRule="auto"/>
              <w:jc w:val="both"/>
              <w:rPr>
                <w:color w:val="000000"/>
              </w:rPr>
            </w:pPr>
            <w:r w:rsidRPr="002452C1">
              <w:rPr>
                <w:color w:val="000000"/>
              </w:rPr>
              <w:t>În concordanță cu Planul Național Integrat Energie Schimbări Climatice revizuit, aflat în proces de preluare a observațiilor și propunerilor Comisiei Europene, România asumă dezvoltarea a 800 MW în centrale hidroelectrice cu acumulare prin pompaj până în anul 2030, precum și instalarea a cel puțin 2.000 MW în baterii până în anul 2035, după cum urmează:</w:t>
            </w:r>
          </w:p>
          <w:p w14:paraId="474B4F22" w14:textId="77777777" w:rsidR="008A7CA2" w:rsidRPr="002452C1" w:rsidRDefault="004F5179" w:rsidP="00814206">
            <w:pPr>
              <w:numPr>
                <w:ilvl w:val="0"/>
                <w:numId w:val="9"/>
              </w:numPr>
              <w:pBdr>
                <w:top w:val="nil"/>
                <w:left w:val="nil"/>
                <w:bottom w:val="nil"/>
                <w:right w:val="nil"/>
                <w:between w:val="nil"/>
              </w:pBdr>
              <w:shd w:val="clear" w:color="auto" w:fill="FFFFFF"/>
              <w:spacing w:after="120" w:line="276" w:lineRule="auto"/>
              <w:jc w:val="both"/>
            </w:pPr>
            <w:r w:rsidRPr="002452C1">
              <w:rPr>
                <w:color w:val="000000"/>
              </w:rPr>
              <w:t>1.200 MW în perioada 2025-2030 (200 MW/an);</w:t>
            </w:r>
          </w:p>
          <w:p w14:paraId="2F27B321" w14:textId="77777777" w:rsidR="008A7CA2" w:rsidRPr="002452C1" w:rsidRDefault="004F5179" w:rsidP="00814206">
            <w:pPr>
              <w:numPr>
                <w:ilvl w:val="0"/>
                <w:numId w:val="9"/>
              </w:numPr>
              <w:pBdr>
                <w:top w:val="nil"/>
                <w:left w:val="nil"/>
                <w:bottom w:val="nil"/>
                <w:right w:val="nil"/>
                <w:between w:val="nil"/>
              </w:pBdr>
              <w:shd w:val="clear" w:color="auto" w:fill="FFFFFF"/>
              <w:spacing w:after="120" w:line="276" w:lineRule="auto"/>
              <w:jc w:val="both"/>
            </w:pPr>
            <w:r w:rsidRPr="002452C1">
              <w:rPr>
                <w:color w:val="000000"/>
              </w:rPr>
              <w:t xml:space="preserve">   800 MW în perioada 2031-2035 (160 MW/an).</w:t>
            </w:r>
          </w:p>
          <w:p w14:paraId="210FC26C" w14:textId="77777777" w:rsidR="008A7CA2" w:rsidRPr="002452C1" w:rsidRDefault="004F5179" w:rsidP="002452C1">
            <w:pPr>
              <w:spacing w:after="120" w:line="276" w:lineRule="auto"/>
              <w:jc w:val="both"/>
            </w:pPr>
            <w:r w:rsidRPr="002452C1">
              <w:t>Având capacitatea de a oferi servicii de reglaj primar, secundar și terțiar, stocarea în baterii poate avea un rol activ în echilibrarea SEN, avantajul acestui tip de stocare constând în adaptabilitatea sa la curba de consum, precum și în faptul că nu este supus factorilor naturali. Investiția strategică în stocarea energiei prin baterii are dublu rol pozitiv, respectiv contribuie la creșterea nivelului de flexibilitate a rețelei de energie electrică și, totodată, facilitează integrarea în sistem a noilor capacități de producție de energie din Surse Regenerabile de Energie (SRE).</w:t>
            </w:r>
          </w:p>
          <w:p w14:paraId="74A25D02" w14:textId="77777777" w:rsidR="008A7CA2" w:rsidRPr="002452C1" w:rsidRDefault="004F5179" w:rsidP="002452C1">
            <w:pPr>
              <w:spacing w:after="120" w:line="276" w:lineRule="auto"/>
              <w:jc w:val="both"/>
            </w:pPr>
            <w:r w:rsidRPr="002452C1">
              <w:t xml:space="preserve">România și-a asumat promovarea soluțiilor de stocare, așa cum este subliniat și prin PNRR, în cadrul </w:t>
            </w:r>
            <w:r w:rsidRPr="002452C1">
              <w:rPr>
                <w:i/>
              </w:rPr>
              <w:t>Investiția 4 - Lanț industrial de producție și/sau asamblare și/sau reciclare a bateriilor, a celulelor și panourilor fotovoltaice (inclusiv echipamente auxiliare) și noi capacități de stocare a energiei electrice, sub-măsura 3, sub-investiția 3</w:t>
            </w:r>
            <w:r w:rsidRPr="002452C1">
              <w:t xml:space="preserve"> </w:t>
            </w:r>
            <w:r w:rsidRPr="002452C1">
              <w:rPr>
                <w:i/>
              </w:rPr>
              <w:t>- instalarea unei capacități de 240 MW (sau 480 MWh) în baterii</w:t>
            </w:r>
            <w:r w:rsidRPr="002452C1">
              <w:t xml:space="preserve"> până la 30 iunie 2026. </w:t>
            </w:r>
          </w:p>
          <w:p w14:paraId="13D70346" w14:textId="77777777" w:rsidR="008A7CA2" w:rsidRPr="002452C1" w:rsidRDefault="004F5179" w:rsidP="002452C1">
            <w:pPr>
              <w:spacing w:after="120" w:line="276" w:lineRule="auto"/>
              <w:jc w:val="both"/>
            </w:pPr>
            <w:r w:rsidRPr="002452C1">
              <w:t xml:space="preserve">Astfel, în baza schemei de ajutor de stat având ca obiectiv sprijinirea investițiilor în dezvoltarea capacităților de stocare a energiei electrice (baterii) a fost relansat un apel de proiecte (cu data de închidere a depunerii de proiecte - 21.04.2024) dedicat societăților, cu o alocare totală aprobată de 103.480.000 EUR, respectiv 79.600.000 EUR cu aplicarea procentului de supracontractare de 30%, putându-se constata că prin PNRR s-au alocat scheme dedicate, subliniindu-se, astfel, angajamentul de consolidare a infrastructurii energetice naționale și de asigurare a unui un viitor energetic rezilient și sustenabil. </w:t>
            </w:r>
          </w:p>
          <w:p w14:paraId="3AA55D7C" w14:textId="77777777" w:rsidR="008A7CA2" w:rsidRPr="002452C1" w:rsidRDefault="004F5179" w:rsidP="002452C1">
            <w:pPr>
              <w:spacing w:after="120" w:line="276" w:lineRule="auto"/>
              <w:jc w:val="both"/>
            </w:pPr>
            <w:r w:rsidRPr="002452C1">
              <w:t>De asemenea, construirea de capacități de stocare a energiei se află printre domeniile de interes din cadrul Programului cheie 1 al Fondului pentru modernizare prevăzut de Ordonanţa de urgenţă a Guvernului nr. 60/2022 privind stabilirea cadrului instituţional şi financiar de implementare şi gestionare a fondurilor alocate României din Fondul pentru modernizare, precum şi pentru modificarea şi completarea unor acte normative, documentele programatice aferente fiind în lucru la nivelul Ministerului Energiei, unde a fost elaborată schema de ajutor de stat pentru sprijinirea investițiilor în dezvoltarea capacităților de stocare a energiei electrice (baterii) cu finanțare din Fondul pentru modernizare, precum și documentația aferentă acesteia.</w:t>
            </w:r>
          </w:p>
          <w:p w14:paraId="75003BB4" w14:textId="77777777" w:rsidR="008A7CA2" w:rsidRPr="002452C1" w:rsidRDefault="004F5179" w:rsidP="002452C1">
            <w:pPr>
              <w:spacing w:after="120" w:line="276" w:lineRule="auto"/>
              <w:jc w:val="both"/>
              <w:rPr>
                <w:u w:val="single"/>
              </w:rPr>
            </w:pPr>
            <w:r w:rsidRPr="002452C1">
              <w:t xml:space="preserve">Aceste documente au fost transmise către Consiliul Concurenței în vederea obținerii avizului schemei, în temeiul prevederilor Ordonanţei de urgenţă nr.77/2014 privind procedurile naţionale în domeniul ajutorului de stat, precum şi pentru modificarea şi completarea Legii concurenţei nr.21/1996, cu modificările și </w:t>
            </w:r>
            <w:r w:rsidRPr="002452C1">
              <w:lastRenderedPageBreak/>
              <w:t>completările ulterioare. In baza avizului Consiliului Concurenței, Ministerul Energiei va transmite documentele necesare către Comitetul de investiții și BEI pentru aprobarea finanțării acestei scheme din Fondul pentru modernizare.</w:t>
            </w:r>
          </w:p>
          <w:p w14:paraId="24FF6A8B" w14:textId="77777777" w:rsidR="008A7CA2" w:rsidRPr="002452C1" w:rsidRDefault="004F5179" w:rsidP="002452C1">
            <w:pPr>
              <w:spacing w:after="120" w:line="276" w:lineRule="auto"/>
              <w:jc w:val="both"/>
            </w:pPr>
            <w:r w:rsidRPr="002452C1">
              <w:t>În aceste condiții, în contextul facilităților acordate persoanelor fizice de a deveni prosumatori și persoanelor juridice pentru încurajarea dezvoltării investițiilor în SRE, prin scheme de ajutor de stat, programe dedicate, sau mecanismul Contracte pentru Diferență (CfD), apare ca necesară modificarea și completarea cadrului legislativ existent, astfel încât să fie încurajate și soluțiile de stocare.</w:t>
            </w:r>
          </w:p>
          <w:p w14:paraId="75A71D9A" w14:textId="77777777" w:rsidR="008A7CA2" w:rsidRPr="002452C1" w:rsidRDefault="004F5179" w:rsidP="002452C1">
            <w:pPr>
              <w:spacing w:after="120" w:line="276" w:lineRule="auto"/>
              <w:jc w:val="both"/>
            </w:pPr>
            <w:r w:rsidRPr="002452C1">
              <w:t>Propunerile legislative se referă la:</w:t>
            </w:r>
          </w:p>
          <w:p w14:paraId="2727853F" w14:textId="77777777" w:rsidR="008A7CA2" w:rsidRPr="002452C1" w:rsidRDefault="004F5179" w:rsidP="00814206">
            <w:pPr>
              <w:numPr>
                <w:ilvl w:val="0"/>
                <w:numId w:val="13"/>
              </w:numPr>
              <w:pBdr>
                <w:top w:val="nil"/>
                <w:left w:val="nil"/>
                <w:bottom w:val="nil"/>
                <w:right w:val="nil"/>
                <w:between w:val="nil"/>
              </w:pBdr>
              <w:spacing w:after="120" w:line="276" w:lineRule="auto"/>
              <w:jc w:val="both"/>
              <w:rPr>
                <w:color w:val="000000"/>
              </w:rPr>
            </w:pPr>
            <w:r w:rsidRPr="002452C1">
              <w:rPr>
                <w:color w:val="000000"/>
              </w:rPr>
              <w:t>Modificarea și completarea Legii nr.123/2012 a energiei și gazelor naturale, cu modificările și completările ulterioare, prin:</w:t>
            </w:r>
          </w:p>
          <w:p w14:paraId="322F95BC" w14:textId="77777777" w:rsidR="008A7CA2" w:rsidRPr="002452C1" w:rsidRDefault="004F5179" w:rsidP="00814206">
            <w:pPr>
              <w:numPr>
                <w:ilvl w:val="0"/>
                <w:numId w:val="9"/>
              </w:numPr>
              <w:pBdr>
                <w:top w:val="nil"/>
                <w:left w:val="nil"/>
                <w:bottom w:val="nil"/>
                <w:right w:val="nil"/>
                <w:between w:val="nil"/>
              </w:pBdr>
              <w:spacing w:after="120" w:line="276" w:lineRule="auto"/>
              <w:jc w:val="both"/>
              <w:rPr>
                <w:color w:val="000000"/>
              </w:rPr>
            </w:pPr>
            <w:r w:rsidRPr="002452C1">
              <w:rPr>
                <w:color w:val="000000"/>
              </w:rPr>
              <w:t>completarea art.3, pct.121, respectiv definiția stocării de energie, pentru claritatea acesteia, în sensul că energia electrică stocată este, ulterior, livrată în rețelele electrice;</w:t>
            </w:r>
          </w:p>
          <w:p w14:paraId="66900A96" w14:textId="77777777" w:rsidR="008A7CA2" w:rsidRPr="002452C1" w:rsidRDefault="004F5179" w:rsidP="00814206">
            <w:pPr>
              <w:numPr>
                <w:ilvl w:val="0"/>
                <w:numId w:val="9"/>
              </w:numPr>
              <w:pBdr>
                <w:top w:val="nil"/>
                <w:left w:val="nil"/>
                <w:bottom w:val="nil"/>
                <w:right w:val="nil"/>
                <w:between w:val="nil"/>
              </w:pBdr>
              <w:spacing w:after="120" w:line="276" w:lineRule="auto"/>
              <w:jc w:val="both"/>
              <w:rPr>
                <w:color w:val="000000"/>
              </w:rPr>
            </w:pPr>
            <w:r w:rsidRPr="002452C1">
              <w:rPr>
                <w:color w:val="000000"/>
              </w:rPr>
              <w:t>introducerea unui nou punct, pct. 70</w:t>
            </w:r>
            <w:r w:rsidRPr="002452C1">
              <w:rPr>
                <w:color w:val="000000"/>
                <w:vertAlign w:val="superscript"/>
              </w:rPr>
              <w:t>1</w:t>
            </w:r>
            <w:r w:rsidRPr="002452C1">
              <w:rPr>
                <w:color w:val="000000"/>
              </w:rPr>
              <w:t>, care definește operatorul de servicii de stocare, având în vedere utilizarea noțiunii în cuprinsul definiției participantului la piață, cu referiri multiple în cuprinsul legii, precum și a exceptării energiei electrice cu care se alimentează instalațiile de stocare de la obligațiile  legale de achiziție de certificate verzi și a contribuției de cogenerare, ca o consecință a faptului că această energie electrică nu reprezintă un consum final;</w:t>
            </w:r>
          </w:p>
          <w:p w14:paraId="3EF30CA9" w14:textId="77777777" w:rsidR="008A7CA2" w:rsidRPr="002452C1" w:rsidRDefault="004F5179" w:rsidP="002452C1">
            <w:pPr>
              <w:numPr>
                <w:ilvl w:val="0"/>
                <w:numId w:val="9"/>
              </w:numPr>
              <w:pBdr>
                <w:top w:val="nil"/>
                <w:left w:val="nil"/>
                <w:bottom w:val="nil"/>
                <w:right w:val="nil"/>
                <w:between w:val="nil"/>
              </w:pBdr>
              <w:spacing w:after="120" w:line="276" w:lineRule="auto"/>
              <w:jc w:val="both"/>
              <w:rPr>
                <w:color w:val="000000"/>
              </w:rPr>
            </w:pPr>
            <w:r w:rsidRPr="002452C1">
              <w:rPr>
                <w:color w:val="000000"/>
              </w:rPr>
              <w:t>introducerea unui nou punct, pct. 107</w:t>
            </w:r>
            <w:r w:rsidRPr="002452C1">
              <w:rPr>
                <w:color w:val="000000"/>
                <w:vertAlign w:val="superscript"/>
              </w:rPr>
              <w:t>1</w:t>
            </w:r>
            <w:r w:rsidRPr="002452C1">
              <w:rPr>
                <w:color w:val="000000"/>
              </w:rPr>
              <w:t>, care definește serviciul de stocare, având în vedere utilizarea noțiunii în cuprinsul definiției participantului la piață;</w:t>
            </w:r>
          </w:p>
          <w:p w14:paraId="0D398604" w14:textId="77777777" w:rsidR="008A7CA2" w:rsidRPr="002452C1" w:rsidRDefault="004F5179" w:rsidP="002452C1">
            <w:pPr>
              <w:spacing w:after="120" w:line="276" w:lineRule="auto"/>
              <w:ind w:left="360"/>
              <w:jc w:val="both"/>
            </w:pPr>
            <w:r w:rsidRPr="002452C1">
              <w:t>Totodată, în ceea ce privește contorizarea energiei electrice, respectiv a colectării datelor privind producția de energie din SRE în vederea calculării gradului de îndeplinire a țintei naționale privind ponderea de energie din SRE în consumul final brut de energie electrică, precum și pentru menținerea stabilității SEN prin încadrarea parametrilor rețelelor electrice în standardele în vigoare, este necesar a se introduce la art.65, după alin.(2</w:t>
            </w:r>
            <w:r w:rsidRPr="002452C1">
              <w:rPr>
                <w:vertAlign w:val="superscript"/>
              </w:rPr>
              <w:t>1</w:t>
            </w:r>
            <w:r w:rsidRPr="002452C1">
              <w:t>), cinci noi alineate, alineatele (2</w:t>
            </w:r>
            <w:r w:rsidRPr="002452C1">
              <w:rPr>
                <w:vertAlign w:val="superscript"/>
              </w:rPr>
              <w:t>2</w:t>
            </w:r>
            <w:r w:rsidRPr="002452C1">
              <w:t>) - (2</w:t>
            </w:r>
            <w:r w:rsidRPr="002452C1">
              <w:rPr>
                <w:vertAlign w:val="superscript"/>
              </w:rPr>
              <w:t>7</w:t>
            </w:r>
            <w:r w:rsidRPr="002452C1">
              <w:t xml:space="preserve">), care vor reglementa cele expuse mai sus. </w:t>
            </w:r>
          </w:p>
          <w:p w14:paraId="72D6FA07" w14:textId="77777777" w:rsidR="008A7CA2" w:rsidRPr="002452C1" w:rsidRDefault="004F5179" w:rsidP="002452C1">
            <w:pPr>
              <w:spacing w:after="120" w:line="276" w:lineRule="auto"/>
              <w:ind w:left="360"/>
              <w:jc w:val="both"/>
            </w:pPr>
            <w:r w:rsidRPr="002452C1">
              <w:t>Se propune inclusiv obligația auditării cibernetice anuale și periodice a invertoarelor și tuturor sistemelor și rețelelor informatice asociate centralelor electrice fotovoltaice, în condițiile stabilite prin ordin comun al președintelui ANRE și al directorului Directoratului Național de Securitate Cibernetică. Motivul este generat de constatări privind existența unor invertoare fotovoltaice și controlere energetice cu materii prime din China care sunt frecvent echipate cu firmware care transmit date către terți (din spațiul asiatic) fără ca utilizatorul să știe și care poate permit atacatorilor să preia controlul asupra dispozitivului/ rețelei energetice. Aceste dispozitive, conectate la rețele locale, pot fi vulnerabile la spionaj dacă sunt compromise. Ele transmit date despre consumul de energie, iar în scenarii nefericite, pot fi manipulate pentru a trimite aceste date către actori rău intenționați. Există date și informații clare că unele invertoare și controle de energie pentru panourile solare, produse în China, ar putea avea software care permite monitorizarea de la distanță a consumului și producției energetice. Printre modalitățile de colectare și transmitere a datelor din invertoare și controlere de energie  în China s-au numărat: dispozitive IoT (Internet of Things) și module de comunicație precum modemuri GSM, module Wi-Fi, Bluetooth, sau tehnologii Zigbee/Z-Wave.</w:t>
            </w:r>
          </w:p>
          <w:p w14:paraId="3C42CFAF" w14:textId="77777777" w:rsidR="008A7CA2" w:rsidRPr="002452C1" w:rsidRDefault="004F5179" w:rsidP="00814206">
            <w:pPr>
              <w:spacing w:after="120" w:line="276" w:lineRule="auto"/>
              <w:jc w:val="both"/>
            </w:pPr>
            <w:r w:rsidRPr="002452C1">
              <w:t xml:space="preserve">Auditul de securitate cibernetică este o componentă esențială a gestionării riscurilor cibernetice. Având în vedere vulnerabilitățile crescute ale sectorului energetic, introducerea auditului ca o condiție obligatorie </w:t>
            </w:r>
            <w:r w:rsidRPr="002452C1">
              <w:lastRenderedPageBreak/>
              <w:t>pentru accesarea fondurilor publice este o măsură necesară pentru a asigura protecția infrastructurii critice. Auditul va garanta că operatorii din sectorul energetic adoptă măsuri adecvate și eficiente de securitate cibernetică, prevenind astfel eventualele atacuri care ar putea perturba funcționarea sistemelor energetice.</w:t>
            </w:r>
          </w:p>
          <w:p w14:paraId="6A265133" w14:textId="77777777" w:rsidR="008A7CA2" w:rsidRPr="002452C1" w:rsidRDefault="004F5179" w:rsidP="00814206">
            <w:pPr>
              <w:spacing w:after="120" w:line="276" w:lineRule="auto"/>
              <w:jc w:val="both"/>
            </w:pPr>
            <w:r w:rsidRPr="002452C1">
              <w:t>Auditul de securitate cibernetică este o componentă esențială a gestionării riscurilor cibernetice. Având în vedere vulnerabilitățile crescute ale sectorului energetic, introducerea auditului ca o condiție obligatorie pentru accesarea fondurilor publice este o măsură necesară pentru a asigura protecția infrastructurii critice. Auditul va garanta că operatorii din sectorul energetic adoptă măsuri adecvate și eficiente de securitate cibernetică, prevenind astfel eventualele atacuri care ar putea perturba funcționarea sistemelor energetice.</w:t>
            </w:r>
          </w:p>
          <w:p w14:paraId="5B060F8E" w14:textId="77777777" w:rsidR="008A7CA2" w:rsidRPr="002452C1" w:rsidRDefault="004F5179" w:rsidP="00814206">
            <w:pPr>
              <w:spacing w:after="120" w:line="276" w:lineRule="auto"/>
              <w:jc w:val="both"/>
            </w:pPr>
            <w:r w:rsidRPr="002452C1">
              <w:rPr>
                <w:b/>
              </w:rPr>
              <w:t>Legea nr. 58/2023</w:t>
            </w:r>
            <w:r w:rsidRPr="002452C1">
              <w:t xml:space="preserve"> definește auditul de securitate cibernetică ca o evaluare sistematică a politicilor, procedurilor și măsurilor de protecție implementate la nivelul rețelelor și sistemelor informatice, având ca scop identificarea disfuncționalităților și vulnerabilităților și furnizarea soluțiilor de remediere. Această lege stabilește cadrul necesar pentru implementarea auditului de securitate cibernetică ca măsură proactivă, destinată prevenirii incidentelor și consolidării apărării împotriva atacurilor cibernetice.</w:t>
            </w:r>
          </w:p>
          <w:p w14:paraId="128FA85C" w14:textId="77777777" w:rsidR="008A7CA2" w:rsidRPr="002452C1" w:rsidRDefault="004F5179" w:rsidP="00814206">
            <w:pPr>
              <w:spacing w:after="120" w:line="276" w:lineRule="auto"/>
              <w:jc w:val="both"/>
            </w:pPr>
            <w:r w:rsidRPr="002452C1">
              <w:rPr>
                <w:b/>
              </w:rPr>
              <w:t>Legea nr. 362/2018</w:t>
            </w:r>
            <w:r w:rsidRPr="002452C1">
              <w:t xml:space="preserve"> impune obligația operatorilor economici din sectoarele esențiale, inclusiv energia, de a pune la dispoziția autorităților competente documentațiile necesare, inclusiv rapoarte de audit de securitate, pentru a evalua măsurile de securitate implementate și pentru a se conforma cerințelor legale. Acest lucru subliniază deja obligativitatea auditului de securitate pentru operatorii din sectorul energetic.</w:t>
            </w:r>
          </w:p>
          <w:p w14:paraId="2C3A88DF" w14:textId="77777777" w:rsidR="008A7CA2" w:rsidRPr="002452C1" w:rsidRDefault="004F5179" w:rsidP="00814206">
            <w:pPr>
              <w:spacing w:after="120" w:line="276" w:lineRule="auto"/>
              <w:jc w:val="both"/>
            </w:pPr>
            <w:r w:rsidRPr="002452C1">
              <w:rPr>
                <w:b/>
              </w:rPr>
              <w:t>Directiva NIS2 (2022/2555/UE)</w:t>
            </w:r>
            <w:r w:rsidRPr="002452C1">
              <w:t xml:space="preserve"> consolidează importanța auditului de securitate cibernetică la nivelul Uniunii Europene, stabilind că autoritățile competente trebuie să efectueze audituri regulate ale operatorilor de servicii esențiale pentru a asigura respectarea cerințelor de securitate. De asemenea, directivele impun realizarea de audituri și evaluări periodice pentru identificarea riscurilor, fiind necesară documentarea și aplicarea măsurilor de control. Paragraful 86 din Directiva NIS2 menționează explicit rolul auditului de securitate cibernetică în prevenirea, detectarea și răspunsul la incidente cibernetice. Mai mult, auditul este considerat o componentă critică în sprijinul operatorilor din sectorul energetic, având în vedere vulnerabilitățile acestora în fața atacurilor cibernetice.</w:t>
            </w:r>
          </w:p>
          <w:p w14:paraId="5CA1965F" w14:textId="77777777" w:rsidR="008A7CA2" w:rsidRPr="002452C1" w:rsidRDefault="004F5179" w:rsidP="00814206">
            <w:pPr>
              <w:spacing w:after="120" w:line="276" w:lineRule="auto"/>
              <w:jc w:val="both"/>
            </w:pPr>
            <w:r w:rsidRPr="002452C1">
              <w:t xml:space="preserve">Conform </w:t>
            </w:r>
            <w:r w:rsidRPr="002452C1">
              <w:rPr>
                <w:b/>
              </w:rPr>
              <w:t>art. 32 din Directiva NIS2 (2022/2555/UE)</w:t>
            </w:r>
            <w:r w:rsidRPr="002452C1">
              <w:t>, statele membre sunt obligate să asigure măsuri de supraveghere și de asigurare a respectării legii în mod efectiv, proporțional și cu efect de descurajare. Supravegherea trebuie să includă, printre altele, audituri de securitate cibernetică periodice și ad-hoc, efectuate de organisme independente sau de autoritățile competente. Aceasta întărește necesitatea ca operatorii economici să fie pregătiți pentru audituri regulate, contribuind la menținerea unui nivel ridicat de securitate cibernetică.</w:t>
            </w:r>
          </w:p>
          <w:p w14:paraId="3E129FAA" w14:textId="77777777" w:rsidR="008A7CA2" w:rsidRPr="002452C1" w:rsidRDefault="004F5179" w:rsidP="00814206">
            <w:pPr>
              <w:spacing w:after="120" w:line="276" w:lineRule="auto"/>
              <w:jc w:val="both"/>
            </w:pPr>
            <w:r w:rsidRPr="002452C1">
              <w:t xml:space="preserve">Normele tehnice aferente </w:t>
            </w:r>
            <w:r w:rsidRPr="002452C1">
              <w:rPr>
                <w:b/>
              </w:rPr>
              <w:t>Ordinului SGG nr. 1.323/2020</w:t>
            </w:r>
            <w:r w:rsidRPr="002452C1">
              <w:t xml:space="preserve"> prevăd cerințele minime de securitate cibernetică pentru operatorii de servicii esențiale, inclusiv obligația efectuării auditului de securitate la intervale de doi ani, acesta fiind realizat de auditori acreditați​). Aceasta poate servi drept bază pentru extinderea obligativității auditului și pentru alți operatori economici care beneficiază de fonduri publice.</w:t>
            </w:r>
          </w:p>
          <w:p w14:paraId="6B841ED6" w14:textId="77777777" w:rsidR="008A7CA2" w:rsidRPr="002452C1" w:rsidRDefault="004F5179" w:rsidP="00814206">
            <w:pPr>
              <w:spacing w:after="120" w:line="276" w:lineRule="auto"/>
              <w:jc w:val="both"/>
            </w:pPr>
            <w:r w:rsidRPr="002452C1">
              <w:t xml:space="preserve">Operatorii economici din sectorul energetic au deja obligația de a furniza autorităților competente, la cerere, documentațiile necesare, inclusiv rapoarte de audit, în conformitate cu </w:t>
            </w:r>
            <w:r w:rsidRPr="002452C1">
              <w:rPr>
                <w:b/>
              </w:rPr>
              <w:t>Legea nr. 362/2018</w:t>
            </w:r>
            <w:r w:rsidRPr="002452C1">
              <w:t>. Introducerea auditului cibernetic obligatoriu în ghidurile de finanțare nu ar adăuga o povară semnificativă, ci doar ar alinia aceste obligații la cerințele existente în materie de securitate cibernetică.</w:t>
            </w:r>
          </w:p>
          <w:p w14:paraId="469FEF07" w14:textId="77777777" w:rsidR="008A7CA2" w:rsidRPr="002452C1" w:rsidRDefault="004F5179" w:rsidP="00814206">
            <w:pPr>
              <w:spacing w:after="120" w:line="276" w:lineRule="auto"/>
              <w:ind w:firstLine="20"/>
              <w:jc w:val="both"/>
              <w:rPr>
                <w:b/>
              </w:rPr>
            </w:pPr>
            <w:r w:rsidRPr="002452C1">
              <w:rPr>
                <w:b/>
              </w:rPr>
              <w:t>Operatorii din sectorul energetic finanțați din fonduri publice sunt operatori de servicii esențiale conform</w:t>
            </w:r>
            <w:r w:rsidRPr="002452C1">
              <w:rPr>
                <w:b/>
                <w:u w:val="single"/>
              </w:rPr>
              <w:t xml:space="preserve"> pct. 1 din Anexa la Legea nr. 362/2018</w:t>
            </w:r>
            <w:r w:rsidRPr="002452C1">
              <w:rPr>
                <w:b/>
              </w:rPr>
              <w:t xml:space="preserve"> privind asigurarea unui nivel comun ridicat de </w:t>
            </w:r>
            <w:r w:rsidRPr="002452C1">
              <w:rPr>
                <w:b/>
              </w:rPr>
              <w:lastRenderedPageBreak/>
              <w:t>securitate a reţelelor şi sistemelor informatice și/sau se află sub incidența</w:t>
            </w:r>
            <w:r w:rsidRPr="002452C1">
              <w:rPr>
                <w:b/>
                <w:u w:val="single"/>
              </w:rPr>
              <w:t xml:space="preserve"> art. 3 alin. (1) lit. c) din Legea nr. 58/2023</w:t>
            </w:r>
            <w:r w:rsidRPr="002452C1">
              <w:rPr>
                <w:b/>
              </w:rPr>
              <w:t xml:space="preserve"> privind securitatea și apărarea cibernetică a României.</w:t>
            </w:r>
          </w:p>
          <w:p w14:paraId="584EAAE4" w14:textId="77777777" w:rsidR="008A7CA2" w:rsidRPr="002452C1" w:rsidRDefault="004F5179" w:rsidP="00814206">
            <w:pPr>
              <w:numPr>
                <w:ilvl w:val="0"/>
                <w:numId w:val="13"/>
              </w:numPr>
              <w:pBdr>
                <w:top w:val="nil"/>
                <w:left w:val="nil"/>
                <w:bottom w:val="nil"/>
                <w:right w:val="nil"/>
                <w:between w:val="nil"/>
              </w:pBdr>
              <w:spacing w:after="120" w:line="276" w:lineRule="auto"/>
              <w:jc w:val="both"/>
              <w:rPr>
                <w:color w:val="000000"/>
              </w:rPr>
            </w:pPr>
            <w:r w:rsidRPr="002452C1">
              <w:rPr>
                <w:color w:val="000000"/>
              </w:rPr>
              <w:t>Modificarea și completarea Legii nr.220/2008 privind stabilirea sistemului de promovare a producerii energiei din surse regenerabile, pentru armonizarea cadrului legislativ privind exceptarea energiei electrice cu care se alimentează instalațiile de stocare de la obligațiile  de achiziție de certificate verzi și a contribuției de cogenerare, ca o consecință a faptului că această energie electrică nu reprezintă un consum final, prin:</w:t>
            </w:r>
          </w:p>
          <w:p w14:paraId="5CFEDB32" w14:textId="77777777" w:rsidR="008A7CA2" w:rsidRPr="002452C1" w:rsidRDefault="004F5179" w:rsidP="00814206">
            <w:pPr>
              <w:numPr>
                <w:ilvl w:val="0"/>
                <w:numId w:val="9"/>
              </w:numPr>
              <w:pBdr>
                <w:top w:val="nil"/>
                <w:left w:val="nil"/>
                <w:bottom w:val="nil"/>
                <w:right w:val="nil"/>
                <w:between w:val="nil"/>
              </w:pBdr>
              <w:spacing w:after="120" w:line="276" w:lineRule="auto"/>
              <w:jc w:val="both"/>
              <w:rPr>
                <w:color w:val="000000"/>
              </w:rPr>
            </w:pPr>
            <w:r w:rsidRPr="002452C1">
              <w:rPr>
                <w:color w:val="000000"/>
              </w:rPr>
              <w:t>completarea art.2, lit.k), respectiv a definiției consumatorului final de energie electrică;</w:t>
            </w:r>
          </w:p>
          <w:p w14:paraId="382C07D3" w14:textId="77777777" w:rsidR="008A7CA2" w:rsidRPr="002452C1" w:rsidRDefault="004F5179" w:rsidP="002452C1">
            <w:pPr>
              <w:numPr>
                <w:ilvl w:val="0"/>
                <w:numId w:val="9"/>
              </w:numPr>
              <w:pBdr>
                <w:top w:val="nil"/>
                <w:left w:val="nil"/>
                <w:bottom w:val="nil"/>
                <w:right w:val="nil"/>
                <w:between w:val="nil"/>
              </w:pBdr>
              <w:spacing w:after="120" w:line="276" w:lineRule="auto"/>
              <w:ind w:left="714" w:hanging="357"/>
              <w:jc w:val="both"/>
              <w:rPr>
                <w:color w:val="000000"/>
              </w:rPr>
            </w:pPr>
            <w:r w:rsidRPr="002452C1">
              <w:rPr>
                <w:color w:val="000000"/>
              </w:rPr>
              <w:t>completarea art.2, lit.i), respectiv a definiției consumului final brut de energie electrică.</w:t>
            </w:r>
          </w:p>
          <w:p w14:paraId="0C34EA65" w14:textId="77777777" w:rsidR="008A7CA2" w:rsidRPr="002452C1" w:rsidRDefault="004F5179" w:rsidP="002452C1">
            <w:pPr>
              <w:numPr>
                <w:ilvl w:val="0"/>
                <w:numId w:val="13"/>
              </w:numPr>
              <w:pBdr>
                <w:top w:val="nil"/>
                <w:left w:val="nil"/>
                <w:bottom w:val="nil"/>
                <w:right w:val="nil"/>
                <w:between w:val="nil"/>
              </w:pBdr>
              <w:spacing w:after="120" w:line="276" w:lineRule="auto"/>
              <w:jc w:val="both"/>
              <w:rPr>
                <w:color w:val="000000"/>
              </w:rPr>
            </w:pPr>
            <w:r w:rsidRPr="002452C1">
              <w:rPr>
                <w:color w:val="000000"/>
              </w:rPr>
              <w:t>Actualizarea de către Autoritatea Naţională de Reglementare în domeniul Energiei a reglementărilor secundare incidente, în acord cu prevederile prezentei ordonanțe de urgență.</w:t>
            </w:r>
          </w:p>
          <w:p w14:paraId="6510D5C4" w14:textId="77777777" w:rsidR="008A7CA2" w:rsidRPr="002452C1" w:rsidRDefault="004F5179" w:rsidP="002452C1">
            <w:pPr>
              <w:numPr>
                <w:ilvl w:val="0"/>
                <w:numId w:val="13"/>
              </w:numPr>
              <w:pBdr>
                <w:top w:val="nil"/>
                <w:left w:val="nil"/>
                <w:bottom w:val="nil"/>
                <w:right w:val="nil"/>
                <w:between w:val="nil"/>
              </w:pBdr>
              <w:spacing w:after="120" w:line="276" w:lineRule="auto"/>
              <w:jc w:val="both"/>
            </w:pPr>
            <w:r w:rsidRPr="002452C1">
              <w:rPr>
                <w:color w:val="000000"/>
              </w:rPr>
              <w:t>Eliminarea dublei taxări: Una dintre cele mai importante propuneri legislative din acest proiect este eliminarea dublei taxări a energiei stocate. În prezent, energia stocată este supusă taxării atât la preluarea din SEN, cât și la reintroducerea ei în sistem, ceea ce descurajează dezvoltarea capacităților de stocare. OUG elimină aceste taxe duble, scutind operatorii de stocare de la plata contribuției pentru cogenerarea de înaltă eficiență și a altor tarife de transport și distribuție aplicate în mod repetat.</w:t>
            </w:r>
          </w:p>
          <w:p w14:paraId="51E5BF6E" w14:textId="77777777" w:rsidR="008A7CA2" w:rsidRPr="002452C1" w:rsidRDefault="004F5179" w:rsidP="00814206">
            <w:pPr>
              <w:numPr>
                <w:ilvl w:val="0"/>
                <w:numId w:val="13"/>
              </w:numPr>
              <w:pBdr>
                <w:top w:val="nil"/>
                <w:left w:val="nil"/>
                <w:bottom w:val="nil"/>
                <w:right w:val="nil"/>
                <w:between w:val="nil"/>
              </w:pBdr>
              <w:spacing w:after="120" w:line="276" w:lineRule="auto"/>
              <w:jc w:val="both"/>
            </w:pPr>
            <w:r w:rsidRPr="002452C1">
              <w:rPr>
                <w:color w:val="000000"/>
              </w:rPr>
              <w:t>Încurajarea stocării sezoniere și a stocării pe termen scurt: Proiectul OUG susține și dezvoltarea unor soluții inovatoare de stocare sezonieră, care să permită echilibrarea fluxurilor de energie între perioadele de supraproducție (ex. energie regenerabilă din surse eoliene și solare) și perioadele de consum ridicat. Aceste măsuri vor contribui la stabilitatea prețurilor și la reducerea dependenței de importurile de energie, în special în perioadele critice.</w:t>
            </w:r>
          </w:p>
          <w:p w14:paraId="75EDC922" w14:textId="77777777" w:rsidR="008A7CA2" w:rsidRPr="002452C1" w:rsidRDefault="004F5179" w:rsidP="00814206">
            <w:pPr>
              <w:numPr>
                <w:ilvl w:val="0"/>
                <w:numId w:val="13"/>
              </w:numPr>
              <w:pBdr>
                <w:top w:val="nil"/>
                <w:left w:val="nil"/>
                <w:bottom w:val="nil"/>
                <w:right w:val="nil"/>
                <w:between w:val="nil"/>
              </w:pBdr>
              <w:spacing w:after="120" w:line="276" w:lineRule="auto"/>
              <w:jc w:val="both"/>
            </w:pPr>
            <w:r w:rsidRPr="002452C1">
              <w:rPr>
                <w:color w:val="000000"/>
              </w:rPr>
              <w:t>Noi reglementări pentru operatorii de stocare: Se introduc reglementări clare pentru operatorii instalațiilor de stocare, precum scutirea de la plata tarifelor pentru serviciul de transport, serviciile de sistem și contribuția pentru cogenerare, atât pentru energia preluată pentru stocare, cât și pentru energia reintrodusă în SEN.</w:t>
            </w:r>
          </w:p>
          <w:p w14:paraId="38D32AFF" w14:textId="77777777" w:rsidR="008A7CA2" w:rsidRPr="002452C1" w:rsidRDefault="004F5179" w:rsidP="00814206">
            <w:pPr>
              <w:numPr>
                <w:ilvl w:val="0"/>
                <w:numId w:val="13"/>
              </w:numPr>
              <w:pBdr>
                <w:top w:val="nil"/>
                <w:left w:val="nil"/>
                <w:bottom w:val="nil"/>
                <w:right w:val="nil"/>
                <w:between w:val="nil"/>
              </w:pBdr>
              <w:spacing w:after="120" w:line="276" w:lineRule="auto"/>
              <w:jc w:val="both"/>
            </w:pPr>
            <w:r w:rsidRPr="002452C1">
              <w:rPr>
                <w:color w:val="000000"/>
              </w:rPr>
              <w:t>Reglementări pentru prosumatori și invertoare: Proiectul introduce și modificări care afectează prosumatorii, acei producători de energie regenerabilă care injectează energie în rețea. Se stabilesc noi obligații pentru operatorii de rețea în ceea ce privește gestionarea invertoarelor și reglementarea parametrilor tehnici, inclusiv dreptul de a reduce la zero puterea injectată în rețea în caz de nerespectare repetată a acestor parametri. Aceste măsuri sunt esențiale pentru stabilitatea tehnică a rețelei în contextul integrării tot mai mari de surse regenerabile.</w:t>
            </w:r>
          </w:p>
          <w:p w14:paraId="7BBE72CE" w14:textId="733DE305" w:rsidR="002452C1" w:rsidRPr="002452C1" w:rsidRDefault="001C1525" w:rsidP="002452C1">
            <w:pPr>
              <w:numPr>
                <w:ilvl w:val="0"/>
                <w:numId w:val="13"/>
              </w:numPr>
              <w:pBdr>
                <w:top w:val="nil"/>
                <w:left w:val="nil"/>
                <w:bottom w:val="nil"/>
                <w:right w:val="nil"/>
                <w:between w:val="nil"/>
              </w:pBdr>
              <w:spacing w:after="120" w:line="276" w:lineRule="auto"/>
              <w:jc w:val="both"/>
              <w:rPr>
                <w:color w:val="000000"/>
                <w:lang w:val="pt-BR"/>
              </w:rPr>
            </w:pPr>
            <w:r w:rsidRPr="002452C1">
              <w:rPr>
                <w:color w:val="000000"/>
              </w:rPr>
              <w:t xml:space="preserve"> Se prevede posibilitatea ca, la solicitarea Ministerului Energiei, terenurile aparținând lacurilor de acumulare permanente a căror execuţie a fost finanţată din fonduri alocate de la bugetul de stat, trec în administrarea acestuia, cu avizul autoritatii publice centrale în domeniul apelor, în scopul  concesionării sau subconcesionarii  pentru dezvoltarea capacităților de stocare de energie, în conformitate cu prevederile stabilite prin reglementările aplicabile. De </w:t>
            </w:r>
            <w:r w:rsidR="002452C1">
              <w:rPr>
                <w:color w:val="000000"/>
              </w:rPr>
              <w:t>a</w:t>
            </w:r>
            <w:r w:rsidRPr="002452C1">
              <w:rPr>
                <w:color w:val="000000"/>
              </w:rPr>
              <w:t>semenea sunt stabilite clauzele</w:t>
            </w:r>
            <w:r w:rsidR="002452C1">
              <w:rPr>
                <w:color w:val="000000"/>
              </w:rPr>
              <w:t xml:space="preserve"> obligatorii care trebuie a fi incluse in contractele de concesiune.</w:t>
            </w:r>
            <w:r w:rsidR="002452C1">
              <w:rPr>
                <w:color w:val="000000"/>
                <w:lang w:val="pt-BR"/>
              </w:rPr>
              <w:t xml:space="preserve"> </w:t>
            </w:r>
            <w:r w:rsidR="004F5179" w:rsidRPr="002452C1">
              <w:rPr>
                <w:color w:val="000000"/>
              </w:rPr>
              <w:t xml:space="preserve">Utilitatea dării în administrare a </w:t>
            </w:r>
            <w:r w:rsidR="004F5179" w:rsidRPr="002452C1">
              <w:t>acestor</w:t>
            </w:r>
            <w:r w:rsidR="004F5179" w:rsidRPr="002452C1">
              <w:rPr>
                <w:color w:val="000000"/>
              </w:rPr>
              <w:t xml:space="preserve"> bunuri către Ministerul Energiei rezidă din faptul că aceasta este cea mai în măsură să organizeze procedura de concesionare a respectivelor perimetre pentru dezvoltarea unor CHEAP-uri, având competența și expertiza legală de a monitoriza modul de executare a concesiunii </w:t>
            </w:r>
            <w:r w:rsidR="004F5179" w:rsidRPr="002452C1">
              <w:rPr>
                <w:color w:val="000000"/>
              </w:rPr>
              <w:lastRenderedPageBreak/>
              <w:t>și ajungerea la rezultatul scontat.</w:t>
            </w:r>
            <w:r w:rsidR="002452C1" w:rsidRPr="002452C1">
              <w:rPr>
                <w:color w:val="000000"/>
              </w:rPr>
              <w:t xml:space="preserve"> A</w:t>
            </w:r>
            <w:r w:rsidR="002452C1" w:rsidRPr="00814206">
              <w:rPr>
                <w:color w:val="000000"/>
                <w:lang w:val="pt-BR"/>
              </w:rPr>
              <w:t>sigurarea capacității de stocare de energiei și a sistemelor de rezervă prin realizarea proiectului centralei hidroelectrice prin pompare Tarnița Lăpuștești și a altor centrale hidroelectrice în pompaj care pot să contribuie la asigurarea rezervei de putere,  implementarea unei astfel de cerințe se va realiza în funcție de forma finală a Strategiei 2020-2030</w:t>
            </w:r>
            <w:r w:rsidR="002452C1" w:rsidRPr="002452C1">
              <w:rPr>
                <w:i/>
                <w:iCs/>
                <w:color w:val="000000"/>
                <w:lang w:val="pt-BR"/>
              </w:rPr>
              <w:t>.</w:t>
            </w:r>
            <w:r w:rsidR="002452C1">
              <w:rPr>
                <w:color w:val="000000"/>
                <w:lang w:val="pt-BR"/>
              </w:rPr>
              <w:t xml:space="preserve"> </w:t>
            </w:r>
            <w:r w:rsidR="002452C1" w:rsidRPr="002452C1">
              <w:rPr>
                <w:color w:val="000000"/>
                <w:lang w:val="pt-BR"/>
              </w:rPr>
              <w:t>Tipul, volumul și calitatea serviciilor de sistem asigurate de CHEAP Tarnița-Lăpuștești reprezintă un avantaj major în operarea unei astfel de centrale, în condițiile unui cadru de reglementare privind serviciile tehnologice de sistem corespunzător și ale dezvoltării piețelor regionale de energie, în special a celor dedicate acestor servicii.</w:t>
            </w:r>
          </w:p>
          <w:p w14:paraId="18254BCF" w14:textId="7A2E94C7" w:rsidR="008A7CA2" w:rsidRPr="00814206" w:rsidRDefault="002452C1" w:rsidP="00814206">
            <w:pPr>
              <w:pBdr>
                <w:top w:val="nil"/>
                <w:left w:val="nil"/>
                <w:bottom w:val="nil"/>
                <w:right w:val="nil"/>
                <w:between w:val="nil"/>
              </w:pBdr>
              <w:spacing w:after="120" w:line="276" w:lineRule="auto"/>
              <w:ind w:left="720"/>
              <w:jc w:val="both"/>
              <w:rPr>
                <w:color w:val="000000"/>
                <w:lang w:val="pt-BR"/>
              </w:rPr>
            </w:pPr>
            <w:r w:rsidRPr="002452C1">
              <w:rPr>
                <w:color w:val="000000"/>
              </w:rPr>
              <w:t>Contextul energetic național și internațional subliniază, de asemenea, importanța urgentă a dezvoltării capacităților de stocare a energiei și pentru asigurarea stabilității rețelei în contextul integrării surselor regenerabile. Proiectul CHEAP Tarnița-Lăpuștești răspunde acestor nevoi strategice ale României, fiind o investiție esențială pentru stabilitatea energetică pe termen lung, cu potențialul de a reduce dependența de combustibilii fosili și de a facilita tranziția către surse de energie curată.</w:t>
            </w:r>
          </w:p>
          <w:p w14:paraId="69DA0F80" w14:textId="77777777" w:rsidR="008A7CA2" w:rsidRPr="002452C1" w:rsidRDefault="004F5179" w:rsidP="00814206">
            <w:pPr>
              <w:numPr>
                <w:ilvl w:val="0"/>
                <w:numId w:val="13"/>
              </w:numPr>
              <w:spacing w:after="120" w:line="276" w:lineRule="auto"/>
              <w:jc w:val="both"/>
            </w:pPr>
            <w:r w:rsidRPr="002452C1">
              <w:rPr>
                <w:color w:val="000000"/>
              </w:rPr>
              <w:t>Prezenta Ordonanță de Urgență introduce două amendamente esențiale la Legea energiei electrice și a gazelor naturale nr. 123/2012, cu scopul de a crea cadrul legal necesar pentru declararea unor proiecte de producere a energiei electrice ca lucrări de interes public național și de a stabili criterii clare pentru definirea proiectelor de importanță națională în domeniul energiei electrice. Această reglementare este esențială pentru accelerarea implementării proiectelor critice pentru securitatea energetică a României și pentru facilitarea accesului la resursele necesare.</w:t>
            </w:r>
          </w:p>
          <w:p w14:paraId="6D919064" w14:textId="77777777" w:rsidR="008A7CA2" w:rsidRPr="002452C1" w:rsidRDefault="004F5179" w:rsidP="00814206">
            <w:pPr>
              <w:numPr>
                <w:ilvl w:val="0"/>
                <w:numId w:val="13"/>
              </w:numPr>
              <w:spacing w:after="120" w:line="276" w:lineRule="auto"/>
              <w:jc w:val="both"/>
            </w:pPr>
            <w:r w:rsidRPr="002452C1">
              <w:rPr>
                <w:color w:val="000000"/>
              </w:rPr>
              <w:t>Amendamentul propus la articolul 3, care introduce un nou punct, 58^2, prevede că lucrările aferente producerii de energie electrică, fie că este vorba de construire, modernizare, reabilitare sau întreținere, pot fi declarate ca lucrări de interes public național. Aceste lucrări includ:</w:t>
            </w:r>
          </w:p>
          <w:p w14:paraId="045D45F1" w14:textId="77777777" w:rsidR="008A7CA2" w:rsidRPr="002452C1" w:rsidRDefault="004F5179" w:rsidP="00814206">
            <w:pPr>
              <w:numPr>
                <w:ilvl w:val="0"/>
                <w:numId w:val="4"/>
              </w:numPr>
              <w:spacing w:after="120" w:line="276" w:lineRule="auto"/>
            </w:pPr>
            <w:r w:rsidRPr="002452C1">
              <w:rPr>
                <w:color w:val="000000"/>
              </w:rPr>
              <w:t>Proiectele de construire a unor noi capacități de producere a energiei electrice;</w:t>
            </w:r>
          </w:p>
          <w:p w14:paraId="0950DA8A" w14:textId="77777777" w:rsidR="008A7CA2" w:rsidRPr="002452C1" w:rsidRDefault="004F5179" w:rsidP="00814206">
            <w:pPr>
              <w:numPr>
                <w:ilvl w:val="0"/>
                <w:numId w:val="4"/>
              </w:numPr>
              <w:spacing w:after="120" w:line="276" w:lineRule="auto"/>
            </w:pPr>
            <w:r w:rsidRPr="002452C1">
              <w:rPr>
                <w:color w:val="000000"/>
              </w:rPr>
              <w:t>Lucrările de dezvoltare, modernizare sau retehnologizare a infrastructurii energetice existente;</w:t>
            </w:r>
          </w:p>
          <w:p w14:paraId="7DDC8525" w14:textId="77777777" w:rsidR="008A7CA2" w:rsidRPr="002452C1" w:rsidRDefault="004F5179" w:rsidP="00814206">
            <w:pPr>
              <w:numPr>
                <w:ilvl w:val="0"/>
                <w:numId w:val="4"/>
              </w:numPr>
              <w:spacing w:after="120" w:line="276" w:lineRule="auto"/>
            </w:pPr>
            <w:r w:rsidRPr="002452C1">
              <w:rPr>
                <w:color w:val="000000"/>
              </w:rPr>
              <w:t>Intervențiile necesare în caz de avarie, revizie sau reparație, toate acestea având un rol crucial în menținerea stabilității și securității Sistemului Electroenergetic Național (SEN).</w:t>
            </w:r>
          </w:p>
          <w:p w14:paraId="0FECD24F" w14:textId="77777777" w:rsidR="008A7CA2" w:rsidRPr="002452C1" w:rsidRDefault="004F5179" w:rsidP="00814206">
            <w:pPr>
              <w:spacing w:after="120" w:line="276" w:lineRule="auto"/>
              <w:jc w:val="both"/>
              <w:rPr>
                <w:color w:val="000000"/>
              </w:rPr>
            </w:pPr>
            <w:r w:rsidRPr="002452C1">
              <w:rPr>
                <w:color w:val="000000"/>
              </w:rPr>
              <w:t>Acest amendament creează un cadru legal clar care permite Guvernului să intervină rapid în implementarea acestor lucrări critice pentru securitatea energetică a statului, facilitând astfel accesul la finanțare, derogări administrative și acces rapid la resurse precum terenurile necesare. De asemenea, prin declararea acestor proiecte ca lucrări de interes public național, ele sunt plasate în centrul priorităților statului, în contextul geopolitic actual și al obiectivelor de decarbonizare asumate de România.</w:t>
            </w:r>
          </w:p>
          <w:p w14:paraId="0B4CC98A" w14:textId="60E2F763" w:rsidR="008A7CA2" w:rsidRPr="002452C1" w:rsidRDefault="004F5179" w:rsidP="00814206">
            <w:pPr>
              <w:numPr>
                <w:ilvl w:val="0"/>
                <w:numId w:val="13"/>
              </w:numPr>
              <w:spacing w:after="120" w:line="276" w:lineRule="auto"/>
              <w:jc w:val="both"/>
            </w:pPr>
            <w:r w:rsidRPr="002452C1">
              <w:rPr>
                <w:color w:val="000000"/>
              </w:rPr>
              <w:t>Un alt amendament propune introducerea unui nou punct, 75^2, la articolul 3, care stabilește criteriile pentru declararea proiectelor de producere a energiei electrice ca proiecte de importanță națională. Aceste proiecte vor fi declarate astfel prin hotărâre de guvern, la propunerea Ministerului Energiei și</w:t>
            </w:r>
            <w:r w:rsidR="00EB6E43" w:rsidRPr="002452C1">
              <w:rPr>
                <w:color w:val="000000"/>
              </w:rPr>
              <w:t>/sau</w:t>
            </w:r>
            <w:r w:rsidRPr="002452C1">
              <w:rPr>
                <w:color w:val="000000"/>
              </w:rPr>
              <w:t xml:space="preserve"> a Secretariatului General al Guvernului, și includ atât proiecte de infrastructură nouă, cât și modernizarea infrastructurii existente.</w:t>
            </w:r>
          </w:p>
          <w:p w14:paraId="1BDC6663" w14:textId="77777777" w:rsidR="008A7CA2" w:rsidRPr="002452C1" w:rsidRDefault="004F5179" w:rsidP="00814206">
            <w:pPr>
              <w:spacing w:after="120" w:line="276" w:lineRule="auto"/>
              <w:jc w:val="both"/>
              <w:rPr>
                <w:color w:val="000000"/>
              </w:rPr>
            </w:pPr>
            <w:r w:rsidRPr="002452C1">
              <w:rPr>
                <w:color w:val="000000"/>
              </w:rPr>
              <w:t>Principalele avantaje aduse de acest amendament includ:</w:t>
            </w:r>
          </w:p>
          <w:p w14:paraId="7150A0BB" w14:textId="77777777" w:rsidR="008A7CA2" w:rsidRPr="002452C1" w:rsidRDefault="004F5179" w:rsidP="00814206">
            <w:pPr>
              <w:numPr>
                <w:ilvl w:val="0"/>
                <w:numId w:val="3"/>
              </w:numPr>
              <w:spacing w:after="120" w:line="276" w:lineRule="auto"/>
            </w:pPr>
            <w:r w:rsidRPr="002452C1">
              <w:rPr>
                <w:color w:val="000000"/>
              </w:rPr>
              <w:t xml:space="preserve">Considerarea acestor proiecte ca fiind de siguranță și securitate națională, conform Ordonanței de Urgență nr. 57/2007 privind regimul ariilor naturale protejate. Acest statut le oferă o prioritate </w:t>
            </w:r>
            <w:r w:rsidRPr="002452C1">
              <w:rPr>
                <w:color w:val="000000"/>
              </w:rPr>
              <w:lastRenderedPageBreak/>
              <w:t>maximă în fața altor categorii de proiecte, în contextul în care România trebuie să asigure siguranța energetică a națiunii.</w:t>
            </w:r>
          </w:p>
          <w:p w14:paraId="3D330BB0" w14:textId="77777777" w:rsidR="008A7CA2" w:rsidRPr="002452C1" w:rsidRDefault="004F5179" w:rsidP="00814206">
            <w:pPr>
              <w:numPr>
                <w:ilvl w:val="0"/>
                <w:numId w:val="3"/>
              </w:numPr>
              <w:spacing w:after="120" w:line="276" w:lineRule="auto"/>
            </w:pPr>
            <w:r w:rsidRPr="002452C1">
              <w:rPr>
                <w:color w:val="000000"/>
              </w:rPr>
              <w:t>Facilitarea scoaterii terenurilor din circuitul agricol și din fondul forestier național, în conformitate cu legislația specifică (Legea fondului funciar nr. 18/1991 și Codul silvic). Proiectele de energie, având un caracter de importanță națională, beneficiază astfel de o procedură accelerată pentru accesul la terenurile necesare pentru realizarea lucrărilor.</w:t>
            </w:r>
          </w:p>
          <w:p w14:paraId="6A542C30" w14:textId="77777777" w:rsidR="008A7CA2" w:rsidRPr="002452C1" w:rsidRDefault="004F5179" w:rsidP="00814206">
            <w:pPr>
              <w:numPr>
                <w:ilvl w:val="0"/>
                <w:numId w:val="3"/>
              </w:numPr>
              <w:spacing w:after="120" w:line="276" w:lineRule="auto"/>
            </w:pPr>
            <w:r w:rsidRPr="002452C1">
              <w:rPr>
                <w:color w:val="000000"/>
              </w:rPr>
              <w:t>Includerea acestor proiecte în categoria celor de interes public național, conform Codului Fiscal (Legea nr. 227/2015), ceea ce va permite aplicarea unor măsuri fiscale favorabile care să susțină investițiile în sectorul energetic.</w:t>
            </w:r>
          </w:p>
          <w:p w14:paraId="3A3011B1" w14:textId="77777777" w:rsidR="008A7CA2" w:rsidRPr="002452C1" w:rsidRDefault="004F5179" w:rsidP="00814206">
            <w:pPr>
              <w:spacing w:after="120" w:line="276" w:lineRule="auto"/>
              <w:jc w:val="both"/>
              <w:rPr>
                <w:color w:val="000000"/>
              </w:rPr>
            </w:pPr>
            <w:r w:rsidRPr="002452C1">
              <w:rPr>
                <w:color w:val="000000"/>
              </w:rPr>
              <w:t>Prin acest amendament, proiectele de importanță națională în domeniul energiei electrice devin instrumente strategice ale statului pentru garantarea securității energetice, în special în contextul tranziției către surse de energie regenerabilă. Acest cadru permite derularea rapidă și eficientă a proiectelor, contribuind la atingerea țintelor asumate de România în cadrul Pactului Ecologic European și Planului Național de Redresare și Reziliență (PNRR).</w:t>
            </w:r>
          </w:p>
          <w:p w14:paraId="61238E7D" w14:textId="77777777" w:rsidR="008A7CA2" w:rsidRPr="002452C1" w:rsidRDefault="004F5179" w:rsidP="00814206">
            <w:pPr>
              <w:numPr>
                <w:ilvl w:val="0"/>
                <w:numId w:val="13"/>
              </w:numPr>
              <w:spacing w:after="120" w:line="276" w:lineRule="auto"/>
              <w:jc w:val="both"/>
            </w:pPr>
            <w:r w:rsidRPr="002452C1">
              <w:rPr>
                <w:color w:val="000000"/>
              </w:rPr>
              <w:t>Prin adoptarea acestor amendamente, se anticipează o accelerare semnificativă a procesului de implementare a proiectelor energetice esențiale, ceea ce va contribui direct la:</w:t>
            </w:r>
          </w:p>
          <w:p w14:paraId="2C1E2D6C" w14:textId="77777777" w:rsidR="008A7CA2" w:rsidRPr="002452C1" w:rsidRDefault="004F5179" w:rsidP="00814206">
            <w:pPr>
              <w:numPr>
                <w:ilvl w:val="0"/>
                <w:numId w:val="14"/>
              </w:numPr>
              <w:spacing w:after="120" w:line="276" w:lineRule="auto"/>
            </w:pPr>
            <w:r w:rsidRPr="002452C1">
              <w:rPr>
                <w:color w:val="000000"/>
              </w:rPr>
              <w:t>Creșterea capacităților de producție și stocare a energiei electrice din surse regenerabile;</w:t>
            </w:r>
          </w:p>
          <w:p w14:paraId="1CC1642D" w14:textId="77777777" w:rsidR="008A7CA2" w:rsidRPr="002452C1" w:rsidRDefault="004F5179" w:rsidP="00814206">
            <w:pPr>
              <w:numPr>
                <w:ilvl w:val="0"/>
                <w:numId w:val="14"/>
              </w:numPr>
              <w:spacing w:after="120" w:line="276" w:lineRule="auto"/>
            </w:pPr>
            <w:r w:rsidRPr="002452C1">
              <w:rPr>
                <w:color w:val="000000"/>
              </w:rPr>
              <w:t>Reducerea vulnerabilității României la fluctuațiile de aprovizionare cu energie din surse externe;</w:t>
            </w:r>
          </w:p>
          <w:p w14:paraId="422CC0F4" w14:textId="77777777" w:rsidR="008A7CA2" w:rsidRPr="002452C1" w:rsidRDefault="004F5179" w:rsidP="00814206">
            <w:pPr>
              <w:numPr>
                <w:ilvl w:val="0"/>
                <w:numId w:val="14"/>
              </w:numPr>
              <w:spacing w:after="120" w:line="276" w:lineRule="auto"/>
            </w:pPr>
            <w:r w:rsidRPr="002452C1">
              <w:rPr>
                <w:color w:val="000000"/>
              </w:rPr>
              <w:t>Modernizarea și securizarea infrastructurii energetice naționale, cu beneficii directe pentru securitatea națională și bunăstarea economică a țării;</w:t>
            </w:r>
          </w:p>
          <w:p w14:paraId="49F329BB" w14:textId="77777777" w:rsidR="008A7CA2" w:rsidRPr="002452C1" w:rsidRDefault="004F5179" w:rsidP="00814206">
            <w:pPr>
              <w:numPr>
                <w:ilvl w:val="0"/>
                <w:numId w:val="14"/>
              </w:numPr>
              <w:spacing w:after="120" w:line="276" w:lineRule="auto"/>
            </w:pPr>
            <w:r w:rsidRPr="002452C1">
              <w:rPr>
                <w:color w:val="000000"/>
              </w:rPr>
              <w:t>Facilitarea procedurilor administrative și legale pentru realizarea acestor proiecte, oferind o mai mare flexibilitate în realizarea lucrărilor de interes public național.</w:t>
            </w:r>
          </w:p>
          <w:p w14:paraId="1094C3A7" w14:textId="77777777" w:rsidR="008A7CA2" w:rsidRPr="00814206" w:rsidRDefault="004F5179" w:rsidP="00814206">
            <w:pPr>
              <w:pBdr>
                <w:top w:val="nil"/>
                <w:left w:val="nil"/>
                <w:bottom w:val="nil"/>
                <w:right w:val="nil"/>
                <w:between w:val="nil"/>
              </w:pBdr>
              <w:spacing w:after="120" w:line="276" w:lineRule="auto"/>
              <w:jc w:val="both"/>
              <w:rPr>
                <w:rFonts w:eastAsia="Arial"/>
                <w:color w:val="000000"/>
              </w:rPr>
            </w:pPr>
            <w:r w:rsidRPr="002452C1">
              <w:rPr>
                <w:color w:val="000000"/>
              </w:rPr>
              <w:t>Schimbările preconizate prin aceste amendamente sunt menite să asigure o tranziție rapidă și eficientă către un sistem energetic modern și sustenabil, în concordanță cu angajamentele României la nivel european și cu cerințele de securitate națională.</w:t>
            </w:r>
          </w:p>
        </w:tc>
      </w:tr>
      <w:tr w:rsidR="008A7CA2" w14:paraId="2D47FFD0" w14:textId="77777777">
        <w:trPr>
          <w:jc w:val="center"/>
        </w:trPr>
        <w:tc>
          <w:tcPr>
            <w:tcW w:w="10490" w:type="dxa"/>
            <w:gridSpan w:val="7"/>
          </w:tcPr>
          <w:p w14:paraId="678305F9" w14:textId="77777777" w:rsidR="008A7CA2" w:rsidRDefault="004F5179" w:rsidP="00814206">
            <w:pPr>
              <w:spacing w:after="120"/>
              <w:rPr>
                <w:b/>
              </w:rPr>
            </w:pPr>
            <w:r>
              <w:rPr>
                <w:b/>
              </w:rPr>
              <w:lastRenderedPageBreak/>
              <w:t xml:space="preserve">2.4. Alte informaţii </w:t>
            </w:r>
          </w:p>
          <w:p w14:paraId="2889106D" w14:textId="77777777" w:rsidR="008A7CA2" w:rsidRDefault="004F5179" w:rsidP="00814206">
            <w:pPr>
              <w:spacing w:after="120"/>
              <w:rPr>
                <w:color w:val="4472C4"/>
              </w:rPr>
            </w:pPr>
            <w:r>
              <w:t>Proiectul de act normativ nu se referă la acest subiect.</w:t>
            </w:r>
          </w:p>
        </w:tc>
      </w:tr>
      <w:tr w:rsidR="008A7CA2" w14:paraId="51F249CD" w14:textId="77777777">
        <w:trPr>
          <w:trHeight w:val="590"/>
          <w:jc w:val="center"/>
        </w:trPr>
        <w:tc>
          <w:tcPr>
            <w:tcW w:w="10490" w:type="dxa"/>
            <w:gridSpan w:val="7"/>
          </w:tcPr>
          <w:p w14:paraId="3E2D9CB7" w14:textId="77777777" w:rsidR="008A7CA2" w:rsidRDefault="004F5179" w:rsidP="00814206">
            <w:pPr>
              <w:spacing w:after="120" w:line="276" w:lineRule="auto"/>
              <w:jc w:val="center"/>
              <w:rPr>
                <w:b/>
              </w:rPr>
            </w:pPr>
            <w:r>
              <w:rPr>
                <w:b/>
              </w:rPr>
              <w:t xml:space="preserve">Secţiunea a 3-a </w:t>
            </w:r>
          </w:p>
          <w:p w14:paraId="76E1DD43" w14:textId="77777777" w:rsidR="008A7CA2" w:rsidRDefault="004F5179" w:rsidP="00814206">
            <w:pPr>
              <w:spacing w:after="120" w:line="360" w:lineRule="auto"/>
              <w:jc w:val="center"/>
              <w:rPr>
                <w:b/>
                <w:color w:val="4472C4"/>
              </w:rPr>
            </w:pPr>
            <w:r>
              <w:rPr>
                <w:b/>
              </w:rPr>
              <w:t>Impactul socioeconomic</w:t>
            </w:r>
          </w:p>
        </w:tc>
      </w:tr>
      <w:tr w:rsidR="008A7CA2" w14:paraId="063A3E39" w14:textId="77777777">
        <w:trPr>
          <w:trHeight w:val="834"/>
          <w:jc w:val="center"/>
        </w:trPr>
        <w:tc>
          <w:tcPr>
            <w:tcW w:w="10490" w:type="dxa"/>
            <w:gridSpan w:val="7"/>
          </w:tcPr>
          <w:p w14:paraId="57061E0E" w14:textId="77777777" w:rsidR="008A7CA2" w:rsidRDefault="004F5179">
            <w:pPr>
              <w:spacing w:after="240"/>
              <w:jc w:val="both"/>
              <w:rPr>
                <w:b/>
              </w:rPr>
            </w:pPr>
            <w:r>
              <w:rPr>
                <w:b/>
              </w:rPr>
              <w:t>3.1. Descrierea generală a beneficiilor şi costurilor estimate ca urmare a intrării în vigoare a actului normativ</w:t>
            </w:r>
          </w:p>
          <w:p w14:paraId="20BBDE19" w14:textId="77777777" w:rsidR="008A7CA2" w:rsidRDefault="004F5179">
            <w:pPr>
              <w:spacing w:line="276" w:lineRule="auto"/>
              <w:jc w:val="both"/>
            </w:pPr>
            <w:r>
              <w:t>Având capacitatea de a oferi servicii de reglaj primar, secundar și terțiar, stocarea în baterii va avea un rol activ în echilibrarea Sistemului Electroenergetic Național, cu impact pozitiv asupra costurilor privind echilibrarea SEN, a reducerii costurilor operatorilor de stocare cu achiziția de certificate verzi și achitarea contribuției de cogenerare, fapt care impactează favorabil factura la consumatorul final.</w:t>
            </w:r>
          </w:p>
          <w:p w14:paraId="624424D8" w14:textId="77777777" w:rsidR="008A7CA2" w:rsidRDefault="004F5179">
            <w:pPr>
              <w:spacing w:line="276" w:lineRule="auto"/>
              <w:jc w:val="both"/>
            </w:pPr>
            <w:r>
              <w:t>Avantajul acestui tip de stocare constă în adaptabilitatea sa la curba de consum, precum și în faptul că nu este supus factorilor naturali.</w:t>
            </w:r>
          </w:p>
          <w:p w14:paraId="6B466269" w14:textId="77777777" w:rsidR="008A7CA2" w:rsidRDefault="004F5179">
            <w:pPr>
              <w:spacing w:line="276" w:lineRule="auto"/>
              <w:jc w:val="both"/>
              <w:rPr>
                <w:color w:val="4472C4"/>
              </w:rPr>
            </w:pPr>
            <w:r>
              <w:lastRenderedPageBreak/>
              <w:t>Investiția strategică în stocarea energiei în baterii are dublu rol pozitiv, respectiv contribuie la creșterea nivelului de flexibilitate a rețelei de energie electrică și, totodată, facilitează integrarea în sistem a noilor capacități de producție de energie din surse regenerbile de energie.</w:t>
            </w:r>
          </w:p>
        </w:tc>
      </w:tr>
      <w:tr w:rsidR="008A7CA2" w14:paraId="286AFBF1" w14:textId="77777777">
        <w:trPr>
          <w:jc w:val="center"/>
        </w:trPr>
        <w:tc>
          <w:tcPr>
            <w:tcW w:w="10490" w:type="dxa"/>
            <w:gridSpan w:val="7"/>
          </w:tcPr>
          <w:p w14:paraId="0371CFBA" w14:textId="77777777" w:rsidR="008A7CA2" w:rsidRDefault="004F5179" w:rsidP="00814206">
            <w:pPr>
              <w:spacing w:after="120"/>
              <w:rPr>
                <w:b/>
              </w:rPr>
            </w:pPr>
            <w:r>
              <w:rPr>
                <w:b/>
              </w:rPr>
              <w:lastRenderedPageBreak/>
              <w:t>3.2. Impactul social</w:t>
            </w:r>
          </w:p>
          <w:p w14:paraId="403ABCD5" w14:textId="77777777" w:rsidR="008A7CA2" w:rsidRDefault="004F5179" w:rsidP="00814206">
            <w:pPr>
              <w:spacing w:after="120" w:line="276" w:lineRule="auto"/>
              <w:jc w:val="both"/>
            </w:pPr>
            <w:r>
              <w:t>Proiectul de act normativ nu se referă la acest subiect.</w:t>
            </w:r>
          </w:p>
        </w:tc>
      </w:tr>
      <w:tr w:rsidR="008A7CA2" w14:paraId="6E37581B" w14:textId="77777777">
        <w:trPr>
          <w:jc w:val="center"/>
        </w:trPr>
        <w:tc>
          <w:tcPr>
            <w:tcW w:w="10490" w:type="dxa"/>
            <w:gridSpan w:val="7"/>
          </w:tcPr>
          <w:p w14:paraId="2B5007BF" w14:textId="77777777" w:rsidR="008A7CA2" w:rsidRDefault="004F5179" w:rsidP="00814206">
            <w:pPr>
              <w:spacing w:after="120"/>
              <w:rPr>
                <w:b/>
              </w:rPr>
            </w:pPr>
            <w:r>
              <w:rPr>
                <w:b/>
              </w:rPr>
              <w:t>3.3. Impactul asupra drepturilor şi libertăţilor fundamentale ale omului</w:t>
            </w:r>
          </w:p>
          <w:p w14:paraId="3845F0E5" w14:textId="77777777" w:rsidR="008A7CA2" w:rsidRDefault="004F5179" w:rsidP="00814206">
            <w:pPr>
              <w:spacing w:after="120" w:line="360" w:lineRule="auto"/>
            </w:pPr>
            <w:r>
              <w:t>Proiectul de act normativ nu se referă la acest subiect.</w:t>
            </w:r>
          </w:p>
        </w:tc>
      </w:tr>
      <w:tr w:rsidR="008A7CA2" w14:paraId="235AEAB9" w14:textId="77777777">
        <w:trPr>
          <w:jc w:val="center"/>
        </w:trPr>
        <w:tc>
          <w:tcPr>
            <w:tcW w:w="10490" w:type="dxa"/>
            <w:gridSpan w:val="7"/>
          </w:tcPr>
          <w:p w14:paraId="5C3BF89F" w14:textId="77777777" w:rsidR="008A7CA2" w:rsidRDefault="004F5179" w:rsidP="00814206">
            <w:pPr>
              <w:spacing w:after="120"/>
              <w:jc w:val="both"/>
              <w:rPr>
                <w:b/>
              </w:rPr>
            </w:pPr>
            <w:r>
              <w:rPr>
                <w:b/>
              </w:rPr>
              <w:t>3.4. Impactul macroeconomic</w:t>
            </w:r>
          </w:p>
          <w:p w14:paraId="03BDCC80" w14:textId="77777777" w:rsidR="008A7CA2" w:rsidRDefault="004F5179" w:rsidP="00814206">
            <w:pPr>
              <w:spacing w:after="120" w:line="276" w:lineRule="auto"/>
              <w:jc w:val="both"/>
            </w:pPr>
            <w:r>
              <w:t>Întărirea capabilității de echilibrare a Sistemului Electroenergetic Național cu soluții autohtone de stocare în baterii, are un impact pozitiv asupra economiei naționale, întrucat va crea premisele adecvării prețului la energie electrică.</w:t>
            </w:r>
          </w:p>
        </w:tc>
      </w:tr>
      <w:tr w:rsidR="008A7CA2" w14:paraId="5AD0FD5F" w14:textId="77777777">
        <w:trPr>
          <w:jc w:val="center"/>
        </w:trPr>
        <w:tc>
          <w:tcPr>
            <w:tcW w:w="10490" w:type="dxa"/>
            <w:gridSpan w:val="7"/>
          </w:tcPr>
          <w:p w14:paraId="71EB72BA" w14:textId="77777777" w:rsidR="008A7CA2" w:rsidRDefault="004F5179" w:rsidP="00814206">
            <w:pPr>
              <w:spacing w:after="120"/>
              <w:rPr>
                <w:b/>
              </w:rPr>
            </w:pPr>
            <w:r>
              <w:rPr>
                <w:b/>
              </w:rPr>
              <w:t>3.4.1. Impactul asupra economiei şi asupra principalilor indicatori macroeconomici</w:t>
            </w:r>
          </w:p>
          <w:p w14:paraId="709D3A43" w14:textId="77777777" w:rsidR="008A7CA2" w:rsidRDefault="004F5179" w:rsidP="00814206">
            <w:pPr>
              <w:spacing w:after="120" w:line="276" w:lineRule="auto"/>
              <w:jc w:val="both"/>
            </w:pPr>
            <w:r>
              <w:t>Politica de promovare a investițiilor în baterii va asigura oportunitați economice și sociale prin dezvoltarea industriei de profil autohtone.</w:t>
            </w:r>
          </w:p>
        </w:tc>
      </w:tr>
      <w:tr w:rsidR="008A7CA2" w14:paraId="176477DC" w14:textId="77777777">
        <w:trPr>
          <w:jc w:val="center"/>
        </w:trPr>
        <w:tc>
          <w:tcPr>
            <w:tcW w:w="10490" w:type="dxa"/>
            <w:gridSpan w:val="7"/>
          </w:tcPr>
          <w:p w14:paraId="1E95080B" w14:textId="77777777" w:rsidR="008A7CA2" w:rsidRDefault="004F5179" w:rsidP="00814206">
            <w:pPr>
              <w:spacing w:after="120"/>
              <w:rPr>
                <w:b/>
              </w:rPr>
            </w:pPr>
            <w:r>
              <w:rPr>
                <w:b/>
              </w:rPr>
              <w:t>3.4.2. Impactul asupra mediului concurenţial şi domeniul ajutoarelor de stat</w:t>
            </w:r>
          </w:p>
          <w:p w14:paraId="5662625D" w14:textId="77777777" w:rsidR="008A7CA2" w:rsidRDefault="004F5179" w:rsidP="00814206">
            <w:pPr>
              <w:spacing w:after="120" w:line="360" w:lineRule="auto"/>
              <w:jc w:val="both"/>
            </w:pPr>
            <w:r>
              <w:t>Proiectul de act normativ nu se referă la acest subiect.</w:t>
            </w:r>
          </w:p>
        </w:tc>
      </w:tr>
      <w:tr w:rsidR="008A7CA2" w14:paraId="5054C479" w14:textId="77777777">
        <w:trPr>
          <w:jc w:val="center"/>
        </w:trPr>
        <w:tc>
          <w:tcPr>
            <w:tcW w:w="10490" w:type="dxa"/>
            <w:gridSpan w:val="7"/>
          </w:tcPr>
          <w:p w14:paraId="0456DFE2" w14:textId="77777777" w:rsidR="008A7CA2" w:rsidRDefault="004F5179" w:rsidP="00814206">
            <w:pPr>
              <w:spacing w:after="120"/>
              <w:rPr>
                <w:b/>
              </w:rPr>
            </w:pPr>
            <w:r>
              <w:rPr>
                <w:b/>
              </w:rPr>
              <w:t>3.5. Impactul asupra mediului de afaceri</w:t>
            </w:r>
          </w:p>
          <w:p w14:paraId="13D793FB" w14:textId="77777777" w:rsidR="008A7CA2" w:rsidRDefault="004F5179" w:rsidP="00814206">
            <w:pPr>
              <w:spacing w:after="120" w:line="276" w:lineRule="auto"/>
              <w:jc w:val="both"/>
            </w:pPr>
            <w:r>
              <w:t>Încurajarea investițiilor în soluțiile de stocare a energiei prin baterii va impacta pozitiv asupra mediului de afaceri, în condițiile în care se va crea concurență în oferta de echilibrare a Sistemului Electroenergetic Național, oferind oportunităţi de implicare a IMM-urilor prin dezvoltarea afacerilor, creîndu-se, totodată, oportunități de a se investi în activități de cercetare și inovare.</w:t>
            </w:r>
          </w:p>
        </w:tc>
      </w:tr>
      <w:tr w:rsidR="008A7CA2" w14:paraId="17956C94" w14:textId="77777777">
        <w:trPr>
          <w:jc w:val="center"/>
        </w:trPr>
        <w:tc>
          <w:tcPr>
            <w:tcW w:w="10490" w:type="dxa"/>
            <w:gridSpan w:val="7"/>
          </w:tcPr>
          <w:p w14:paraId="5F0229F3" w14:textId="77777777" w:rsidR="008A7CA2" w:rsidRDefault="004F5179">
            <w:pPr>
              <w:spacing w:after="240"/>
              <w:rPr>
                <w:b/>
              </w:rPr>
            </w:pPr>
            <w:r>
              <w:rPr>
                <w:b/>
              </w:rPr>
              <w:t>3.6. Impactul asupra mediului înconjurător</w:t>
            </w:r>
          </w:p>
          <w:p w14:paraId="711040DE" w14:textId="77777777" w:rsidR="008A7CA2" w:rsidRDefault="004F5179">
            <w:pPr>
              <w:spacing w:before="120" w:line="276" w:lineRule="auto"/>
              <w:jc w:val="both"/>
            </w:pPr>
            <w:r>
              <w:t>Proiectele de investiții în baterii vor fi implementate după parcurgerea, pentru fiecare în parte, a procedurilor de autorizare, proceduri în cadrul cărora, în urma evaluării impactului asupra mediului, se vor promova soluţiile tehnice care să asigure un impact minim din perspectiva protecției mediului.</w:t>
            </w:r>
          </w:p>
        </w:tc>
      </w:tr>
      <w:tr w:rsidR="008A7CA2" w14:paraId="15420C0E" w14:textId="77777777">
        <w:trPr>
          <w:jc w:val="center"/>
        </w:trPr>
        <w:tc>
          <w:tcPr>
            <w:tcW w:w="10490" w:type="dxa"/>
            <w:gridSpan w:val="7"/>
          </w:tcPr>
          <w:p w14:paraId="5A731AD8" w14:textId="77777777" w:rsidR="008A7CA2" w:rsidRDefault="004F5179">
            <w:pPr>
              <w:spacing w:after="240"/>
              <w:jc w:val="both"/>
              <w:rPr>
                <w:b/>
              </w:rPr>
            </w:pPr>
            <w:r>
              <w:rPr>
                <w:b/>
              </w:rPr>
              <w:t>3.7. Evaluarea costurilor şi beneficiilor din perspectiva inovării şi digitalizării</w:t>
            </w:r>
          </w:p>
          <w:p w14:paraId="0CD9A956" w14:textId="77777777" w:rsidR="008A7CA2" w:rsidRDefault="004F5179">
            <w:pPr>
              <w:spacing w:line="276" w:lineRule="auto"/>
              <w:jc w:val="both"/>
            </w:pPr>
            <w:r>
              <w:t>Proiectul de act normativ nu se referă la acest subiect.</w:t>
            </w:r>
          </w:p>
        </w:tc>
      </w:tr>
      <w:tr w:rsidR="008A7CA2" w14:paraId="34C33266" w14:textId="77777777">
        <w:trPr>
          <w:jc w:val="center"/>
        </w:trPr>
        <w:tc>
          <w:tcPr>
            <w:tcW w:w="10490" w:type="dxa"/>
            <w:gridSpan w:val="7"/>
          </w:tcPr>
          <w:p w14:paraId="21D53753" w14:textId="77777777" w:rsidR="008A7CA2" w:rsidRDefault="004F5179">
            <w:pPr>
              <w:spacing w:after="240"/>
              <w:rPr>
                <w:b/>
              </w:rPr>
            </w:pPr>
            <w:r>
              <w:rPr>
                <w:b/>
              </w:rPr>
              <w:t>3.8. Evaluarea costurilor şi beneficiilor din perspectiva dezvoltării durabile</w:t>
            </w:r>
          </w:p>
          <w:p w14:paraId="0BB83483" w14:textId="77777777" w:rsidR="008A7CA2" w:rsidRDefault="004F5179">
            <w:pPr>
              <w:spacing w:line="276" w:lineRule="auto"/>
              <w:jc w:val="both"/>
            </w:pPr>
            <w:r>
              <w:t>Proiectul de act normativ nu se referă la acest subiect.</w:t>
            </w:r>
          </w:p>
        </w:tc>
      </w:tr>
      <w:tr w:rsidR="008A7CA2" w14:paraId="120DBEE4" w14:textId="77777777">
        <w:trPr>
          <w:jc w:val="center"/>
        </w:trPr>
        <w:tc>
          <w:tcPr>
            <w:tcW w:w="10490" w:type="dxa"/>
            <w:gridSpan w:val="7"/>
          </w:tcPr>
          <w:p w14:paraId="3F713E5C" w14:textId="77777777" w:rsidR="008A7CA2" w:rsidRDefault="004F5179">
            <w:pPr>
              <w:spacing w:after="240"/>
              <w:rPr>
                <w:b/>
              </w:rPr>
            </w:pPr>
            <w:r>
              <w:rPr>
                <w:b/>
              </w:rPr>
              <w:t>3.9. Alte informaţii</w:t>
            </w:r>
          </w:p>
          <w:p w14:paraId="767217F3" w14:textId="77777777" w:rsidR="008A7CA2" w:rsidRDefault="004F5179">
            <w:pPr>
              <w:spacing w:line="360" w:lineRule="auto"/>
            </w:pPr>
            <w:r>
              <w:t>Proiectul de act normativ nu se referă la acest subiect.</w:t>
            </w:r>
          </w:p>
        </w:tc>
      </w:tr>
      <w:tr w:rsidR="008A7CA2" w14:paraId="18E94CDA" w14:textId="77777777">
        <w:trPr>
          <w:trHeight w:val="603"/>
          <w:jc w:val="center"/>
        </w:trPr>
        <w:tc>
          <w:tcPr>
            <w:tcW w:w="10490" w:type="dxa"/>
            <w:gridSpan w:val="7"/>
          </w:tcPr>
          <w:p w14:paraId="3460DCD0" w14:textId="77777777" w:rsidR="008A7CA2" w:rsidRDefault="004F5179">
            <w:pPr>
              <w:spacing w:before="120"/>
              <w:jc w:val="center"/>
              <w:rPr>
                <w:b/>
              </w:rPr>
            </w:pPr>
            <w:r>
              <w:rPr>
                <w:b/>
              </w:rPr>
              <w:t>Secţiunea a 4-a</w:t>
            </w:r>
          </w:p>
          <w:p w14:paraId="0303E2F2" w14:textId="1CF6FC10" w:rsidR="008A7CA2" w:rsidRDefault="004F5179">
            <w:pPr>
              <w:spacing w:after="120" w:line="276" w:lineRule="auto"/>
              <w:jc w:val="center"/>
              <w:rPr>
                <w:b/>
              </w:rPr>
            </w:pPr>
            <w:r>
              <w:rPr>
                <w:b/>
              </w:rPr>
              <w:t>Impactul financiar asupra bugetului general consolidat, atât pe termen scurt, pentru anul curent, cât şi pe termen lung (pe 5 ani), inclusiv informații cu privire la cheltuieli și venituri</w:t>
            </w:r>
          </w:p>
          <w:p w14:paraId="4A30AC1B" w14:textId="77777777" w:rsidR="008144E5" w:rsidRDefault="008144E5">
            <w:pPr>
              <w:spacing w:after="120" w:line="276" w:lineRule="auto"/>
              <w:jc w:val="center"/>
              <w:rPr>
                <w:b/>
              </w:rPr>
            </w:pPr>
          </w:p>
          <w:p w14:paraId="4726070D" w14:textId="77777777" w:rsidR="008A7CA2" w:rsidRDefault="004F5179">
            <w:pPr>
              <w:spacing w:after="120" w:line="276" w:lineRule="auto"/>
            </w:pPr>
            <w:r>
              <w:t>Prezentul proiect de act normativ nu are impact bugetar.</w:t>
            </w:r>
          </w:p>
        </w:tc>
      </w:tr>
      <w:tr w:rsidR="008A7CA2" w14:paraId="393CEEDF" w14:textId="77777777">
        <w:trPr>
          <w:jc w:val="center"/>
        </w:trPr>
        <w:tc>
          <w:tcPr>
            <w:tcW w:w="10490" w:type="dxa"/>
            <w:gridSpan w:val="7"/>
          </w:tcPr>
          <w:p w14:paraId="49360A7B" w14:textId="77777777" w:rsidR="008A7CA2" w:rsidRDefault="004F5179">
            <w:pPr>
              <w:jc w:val="right"/>
            </w:pPr>
            <w:r>
              <w:lastRenderedPageBreak/>
              <w:t>- în mii lei (RON) -</w:t>
            </w:r>
          </w:p>
        </w:tc>
      </w:tr>
      <w:tr w:rsidR="008A7CA2" w14:paraId="46F0A87E" w14:textId="77777777">
        <w:trPr>
          <w:jc w:val="center"/>
        </w:trPr>
        <w:tc>
          <w:tcPr>
            <w:tcW w:w="4395" w:type="dxa"/>
            <w:vAlign w:val="center"/>
          </w:tcPr>
          <w:p w14:paraId="71A4A0D9" w14:textId="77777777" w:rsidR="008A7CA2" w:rsidRDefault="004F5179">
            <w:pPr>
              <w:jc w:val="center"/>
              <w:rPr>
                <w:b/>
              </w:rPr>
            </w:pPr>
            <w:r>
              <w:t>Indicatori</w:t>
            </w:r>
          </w:p>
        </w:tc>
        <w:tc>
          <w:tcPr>
            <w:tcW w:w="992" w:type="dxa"/>
          </w:tcPr>
          <w:p w14:paraId="53BB9BBE" w14:textId="77777777" w:rsidR="008A7CA2" w:rsidRDefault="004F5179">
            <w:pPr>
              <w:jc w:val="center"/>
            </w:pPr>
            <w:r>
              <w:t>Anul</w:t>
            </w:r>
          </w:p>
          <w:p w14:paraId="5F52AC0D" w14:textId="77777777" w:rsidR="008A7CA2" w:rsidRDefault="004F5179">
            <w:pPr>
              <w:jc w:val="center"/>
              <w:rPr>
                <w:b/>
              </w:rPr>
            </w:pPr>
            <w:r>
              <w:t>curent</w:t>
            </w:r>
          </w:p>
        </w:tc>
        <w:tc>
          <w:tcPr>
            <w:tcW w:w="3969" w:type="dxa"/>
            <w:gridSpan w:val="4"/>
            <w:vAlign w:val="center"/>
          </w:tcPr>
          <w:p w14:paraId="019F5B5F" w14:textId="77777777" w:rsidR="008A7CA2" w:rsidRDefault="004F5179">
            <w:pPr>
              <w:jc w:val="center"/>
            </w:pPr>
            <w:r>
              <w:t>Următorii patru ani</w:t>
            </w:r>
          </w:p>
        </w:tc>
        <w:tc>
          <w:tcPr>
            <w:tcW w:w="1134" w:type="dxa"/>
          </w:tcPr>
          <w:p w14:paraId="59810D86" w14:textId="77777777" w:rsidR="008A7CA2" w:rsidRDefault="004F5179">
            <w:pPr>
              <w:jc w:val="both"/>
            </w:pPr>
            <w:r>
              <w:t>Media pe cinci ani</w:t>
            </w:r>
          </w:p>
        </w:tc>
      </w:tr>
      <w:tr w:rsidR="008A7CA2" w14:paraId="0A0F5BAE" w14:textId="77777777">
        <w:trPr>
          <w:jc w:val="center"/>
        </w:trPr>
        <w:tc>
          <w:tcPr>
            <w:tcW w:w="4395" w:type="dxa"/>
            <w:vAlign w:val="center"/>
          </w:tcPr>
          <w:p w14:paraId="197CD4C6" w14:textId="77777777" w:rsidR="008A7CA2" w:rsidRDefault="004F5179">
            <w:pPr>
              <w:jc w:val="center"/>
              <w:rPr>
                <w:b/>
              </w:rPr>
            </w:pPr>
            <w:r>
              <w:t>1</w:t>
            </w:r>
          </w:p>
        </w:tc>
        <w:tc>
          <w:tcPr>
            <w:tcW w:w="992" w:type="dxa"/>
            <w:vAlign w:val="center"/>
          </w:tcPr>
          <w:p w14:paraId="64FB7217" w14:textId="77777777" w:rsidR="008A7CA2" w:rsidRDefault="004F5179">
            <w:pPr>
              <w:jc w:val="center"/>
              <w:rPr>
                <w:b/>
              </w:rPr>
            </w:pPr>
            <w:r>
              <w:t>2</w:t>
            </w:r>
          </w:p>
        </w:tc>
        <w:tc>
          <w:tcPr>
            <w:tcW w:w="992" w:type="dxa"/>
            <w:vAlign w:val="center"/>
          </w:tcPr>
          <w:p w14:paraId="1D54C51C" w14:textId="77777777" w:rsidR="008A7CA2" w:rsidRDefault="004F5179">
            <w:pPr>
              <w:jc w:val="center"/>
              <w:rPr>
                <w:b/>
              </w:rPr>
            </w:pPr>
            <w:r>
              <w:t>3</w:t>
            </w:r>
          </w:p>
        </w:tc>
        <w:tc>
          <w:tcPr>
            <w:tcW w:w="992" w:type="dxa"/>
            <w:vAlign w:val="center"/>
          </w:tcPr>
          <w:p w14:paraId="581A7419" w14:textId="77777777" w:rsidR="008A7CA2" w:rsidRDefault="004F5179">
            <w:pPr>
              <w:jc w:val="center"/>
              <w:rPr>
                <w:b/>
              </w:rPr>
            </w:pPr>
            <w:r>
              <w:t>4</w:t>
            </w:r>
          </w:p>
        </w:tc>
        <w:tc>
          <w:tcPr>
            <w:tcW w:w="993" w:type="dxa"/>
            <w:vAlign w:val="center"/>
          </w:tcPr>
          <w:p w14:paraId="09E4D461" w14:textId="77777777" w:rsidR="008A7CA2" w:rsidRDefault="004F5179">
            <w:pPr>
              <w:jc w:val="center"/>
              <w:rPr>
                <w:b/>
              </w:rPr>
            </w:pPr>
            <w:r>
              <w:t>5</w:t>
            </w:r>
          </w:p>
        </w:tc>
        <w:tc>
          <w:tcPr>
            <w:tcW w:w="992" w:type="dxa"/>
            <w:vAlign w:val="center"/>
          </w:tcPr>
          <w:p w14:paraId="2AB432EE" w14:textId="77777777" w:rsidR="008A7CA2" w:rsidRDefault="004F5179">
            <w:pPr>
              <w:jc w:val="center"/>
              <w:rPr>
                <w:b/>
              </w:rPr>
            </w:pPr>
            <w:r>
              <w:t>6</w:t>
            </w:r>
          </w:p>
        </w:tc>
        <w:tc>
          <w:tcPr>
            <w:tcW w:w="1134" w:type="dxa"/>
            <w:vAlign w:val="center"/>
          </w:tcPr>
          <w:p w14:paraId="5E1295F2" w14:textId="77777777" w:rsidR="008A7CA2" w:rsidRDefault="004F5179">
            <w:pPr>
              <w:jc w:val="center"/>
              <w:rPr>
                <w:b/>
              </w:rPr>
            </w:pPr>
            <w:r>
              <w:t>7</w:t>
            </w:r>
          </w:p>
        </w:tc>
      </w:tr>
      <w:tr w:rsidR="008A7CA2" w14:paraId="0ABF91C5" w14:textId="77777777">
        <w:trPr>
          <w:jc w:val="center"/>
        </w:trPr>
        <w:tc>
          <w:tcPr>
            <w:tcW w:w="4395" w:type="dxa"/>
          </w:tcPr>
          <w:p w14:paraId="0A3CD1DE" w14:textId="77777777" w:rsidR="008A7CA2" w:rsidRDefault="008A7CA2">
            <w:pPr>
              <w:jc w:val="center"/>
              <w:rPr>
                <w:b/>
              </w:rPr>
            </w:pPr>
          </w:p>
        </w:tc>
        <w:tc>
          <w:tcPr>
            <w:tcW w:w="992" w:type="dxa"/>
          </w:tcPr>
          <w:p w14:paraId="5A4BF934" w14:textId="77777777" w:rsidR="008A7CA2" w:rsidRDefault="004F5179">
            <w:pPr>
              <w:jc w:val="center"/>
              <w:rPr>
                <w:b/>
              </w:rPr>
            </w:pPr>
            <w:r>
              <w:t>2024</w:t>
            </w:r>
          </w:p>
        </w:tc>
        <w:tc>
          <w:tcPr>
            <w:tcW w:w="992" w:type="dxa"/>
          </w:tcPr>
          <w:p w14:paraId="2FA42BA4" w14:textId="77777777" w:rsidR="008A7CA2" w:rsidRDefault="004F5179">
            <w:pPr>
              <w:jc w:val="center"/>
              <w:rPr>
                <w:b/>
              </w:rPr>
            </w:pPr>
            <w:r>
              <w:t>2025</w:t>
            </w:r>
          </w:p>
        </w:tc>
        <w:tc>
          <w:tcPr>
            <w:tcW w:w="992" w:type="dxa"/>
          </w:tcPr>
          <w:p w14:paraId="482AEDB2" w14:textId="77777777" w:rsidR="008A7CA2" w:rsidRDefault="004F5179">
            <w:pPr>
              <w:jc w:val="center"/>
              <w:rPr>
                <w:b/>
              </w:rPr>
            </w:pPr>
            <w:r>
              <w:t>2026</w:t>
            </w:r>
          </w:p>
        </w:tc>
        <w:tc>
          <w:tcPr>
            <w:tcW w:w="993" w:type="dxa"/>
          </w:tcPr>
          <w:p w14:paraId="31EDAB91" w14:textId="77777777" w:rsidR="008A7CA2" w:rsidRDefault="004F5179">
            <w:pPr>
              <w:jc w:val="center"/>
              <w:rPr>
                <w:b/>
              </w:rPr>
            </w:pPr>
            <w:r>
              <w:t>2027</w:t>
            </w:r>
          </w:p>
        </w:tc>
        <w:tc>
          <w:tcPr>
            <w:tcW w:w="992" w:type="dxa"/>
          </w:tcPr>
          <w:p w14:paraId="05DBB4B8" w14:textId="77777777" w:rsidR="008A7CA2" w:rsidRDefault="004F5179">
            <w:pPr>
              <w:jc w:val="center"/>
              <w:rPr>
                <w:b/>
              </w:rPr>
            </w:pPr>
            <w:r>
              <w:t>2028</w:t>
            </w:r>
          </w:p>
        </w:tc>
        <w:tc>
          <w:tcPr>
            <w:tcW w:w="1134" w:type="dxa"/>
          </w:tcPr>
          <w:p w14:paraId="58B09E8E" w14:textId="77777777" w:rsidR="008A7CA2" w:rsidRDefault="008A7CA2">
            <w:pPr>
              <w:jc w:val="center"/>
              <w:rPr>
                <w:b/>
              </w:rPr>
            </w:pPr>
          </w:p>
        </w:tc>
      </w:tr>
      <w:tr w:rsidR="008A7CA2" w14:paraId="7D220AFA" w14:textId="77777777">
        <w:trPr>
          <w:trHeight w:val="597"/>
          <w:jc w:val="center"/>
        </w:trPr>
        <w:tc>
          <w:tcPr>
            <w:tcW w:w="4395" w:type="dxa"/>
          </w:tcPr>
          <w:p w14:paraId="7247E06B" w14:textId="77777777" w:rsidR="008A7CA2" w:rsidRDefault="004F5179">
            <w:pPr>
              <w:numPr>
                <w:ilvl w:val="1"/>
                <w:numId w:val="6"/>
              </w:numPr>
              <w:pBdr>
                <w:top w:val="nil"/>
                <w:left w:val="nil"/>
                <w:bottom w:val="nil"/>
                <w:right w:val="nil"/>
                <w:between w:val="nil"/>
              </w:pBdr>
              <w:ind w:left="313"/>
              <w:rPr>
                <w:b/>
                <w:color w:val="000000"/>
              </w:rPr>
            </w:pPr>
            <w:r>
              <w:rPr>
                <w:b/>
                <w:color w:val="000000"/>
              </w:rPr>
              <w:t xml:space="preserve"> Modificări ale veniturilor bugetare, plus/minus, din care:</w:t>
            </w:r>
          </w:p>
        </w:tc>
        <w:tc>
          <w:tcPr>
            <w:tcW w:w="992" w:type="dxa"/>
          </w:tcPr>
          <w:p w14:paraId="4A796F5E" w14:textId="77777777" w:rsidR="008A7CA2" w:rsidRDefault="008A7CA2">
            <w:pPr>
              <w:rPr>
                <w:b/>
              </w:rPr>
            </w:pPr>
          </w:p>
        </w:tc>
        <w:tc>
          <w:tcPr>
            <w:tcW w:w="992" w:type="dxa"/>
          </w:tcPr>
          <w:p w14:paraId="2FB244C9" w14:textId="77777777" w:rsidR="008A7CA2" w:rsidRDefault="008A7CA2">
            <w:pPr>
              <w:rPr>
                <w:b/>
              </w:rPr>
            </w:pPr>
          </w:p>
        </w:tc>
        <w:tc>
          <w:tcPr>
            <w:tcW w:w="992" w:type="dxa"/>
          </w:tcPr>
          <w:p w14:paraId="6505B27A" w14:textId="77777777" w:rsidR="008A7CA2" w:rsidRDefault="008A7CA2">
            <w:pPr>
              <w:rPr>
                <w:b/>
              </w:rPr>
            </w:pPr>
          </w:p>
        </w:tc>
        <w:tc>
          <w:tcPr>
            <w:tcW w:w="993" w:type="dxa"/>
          </w:tcPr>
          <w:p w14:paraId="269CDBE5" w14:textId="77777777" w:rsidR="008A7CA2" w:rsidRDefault="008A7CA2">
            <w:pPr>
              <w:rPr>
                <w:b/>
              </w:rPr>
            </w:pPr>
          </w:p>
        </w:tc>
        <w:tc>
          <w:tcPr>
            <w:tcW w:w="992" w:type="dxa"/>
          </w:tcPr>
          <w:p w14:paraId="6AACB768" w14:textId="77777777" w:rsidR="008A7CA2" w:rsidRDefault="008A7CA2">
            <w:pPr>
              <w:rPr>
                <w:b/>
              </w:rPr>
            </w:pPr>
          </w:p>
        </w:tc>
        <w:tc>
          <w:tcPr>
            <w:tcW w:w="1134" w:type="dxa"/>
          </w:tcPr>
          <w:p w14:paraId="7F04FB1A" w14:textId="77777777" w:rsidR="008A7CA2" w:rsidRDefault="008A7CA2">
            <w:pPr>
              <w:rPr>
                <w:b/>
              </w:rPr>
            </w:pPr>
          </w:p>
        </w:tc>
      </w:tr>
      <w:tr w:rsidR="008A7CA2" w14:paraId="3438C7FA" w14:textId="77777777">
        <w:trPr>
          <w:trHeight w:val="977"/>
          <w:jc w:val="center"/>
        </w:trPr>
        <w:tc>
          <w:tcPr>
            <w:tcW w:w="4395" w:type="dxa"/>
          </w:tcPr>
          <w:p w14:paraId="1E0C26D0" w14:textId="77777777" w:rsidR="008A7CA2" w:rsidRDefault="004F5179">
            <w:pPr>
              <w:numPr>
                <w:ilvl w:val="0"/>
                <w:numId w:val="2"/>
              </w:numPr>
              <w:ind w:hanging="331"/>
            </w:pPr>
            <w:r>
              <w:t>buget de stat, din acesta:</w:t>
            </w:r>
          </w:p>
          <w:p w14:paraId="5339B521" w14:textId="77777777" w:rsidR="008A7CA2" w:rsidRDefault="004F5179">
            <w:pPr>
              <w:numPr>
                <w:ilvl w:val="0"/>
                <w:numId w:val="1"/>
              </w:numPr>
              <w:tabs>
                <w:tab w:val="left" w:pos="720"/>
              </w:tabs>
              <w:ind w:left="360" w:firstLine="0"/>
            </w:pPr>
            <w:r>
              <w:t>impozit pe profit</w:t>
            </w:r>
          </w:p>
          <w:p w14:paraId="67E69C56" w14:textId="77777777" w:rsidR="008A7CA2" w:rsidRDefault="004F5179">
            <w:pPr>
              <w:numPr>
                <w:ilvl w:val="0"/>
                <w:numId w:val="1"/>
              </w:numPr>
              <w:tabs>
                <w:tab w:val="left" w:pos="720"/>
              </w:tabs>
            </w:pPr>
            <w:r>
              <w:t>impozit pe venit</w:t>
            </w:r>
          </w:p>
        </w:tc>
        <w:tc>
          <w:tcPr>
            <w:tcW w:w="992" w:type="dxa"/>
          </w:tcPr>
          <w:p w14:paraId="150877EC" w14:textId="77777777" w:rsidR="008A7CA2" w:rsidRDefault="008A7CA2"/>
        </w:tc>
        <w:tc>
          <w:tcPr>
            <w:tcW w:w="992" w:type="dxa"/>
          </w:tcPr>
          <w:p w14:paraId="00ED42B3" w14:textId="77777777" w:rsidR="008A7CA2" w:rsidRDefault="008A7CA2"/>
        </w:tc>
        <w:tc>
          <w:tcPr>
            <w:tcW w:w="992" w:type="dxa"/>
          </w:tcPr>
          <w:p w14:paraId="292475B7" w14:textId="77777777" w:rsidR="008A7CA2" w:rsidRDefault="008A7CA2"/>
        </w:tc>
        <w:tc>
          <w:tcPr>
            <w:tcW w:w="993" w:type="dxa"/>
          </w:tcPr>
          <w:p w14:paraId="76C4B928" w14:textId="77777777" w:rsidR="008A7CA2" w:rsidRDefault="008A7CA2"/>
        </w:tc>
        <w:tc>
          <w:tcPr>
            <w:tcW w:w="992" w:type="dxa"/>
          </w:tcPr>
          <w:p w14:paraId="74002A67" w14:textId="77777777" w:rsidR="008A7CA2" w:rsidRDefault="008A7CA2"/>
        </w:tc>
        <w:tc>
          <w:tcPr>
            <w:tcW w:w="1134" w:type="dxa"/>
          </w:tcPr>
          <w:p w14:paraId="4567A52F" w14:textId="77777777" w:rsidR="008A7CA2" w:rsidRDefault="008A7CA2"/>
        </w:tc>
      </w:tr>
      <w:tr w:rsidR="008A7CA2" w14:paraId="62277465" w14:textId="77777777">
        <w:trPr>
          <w:trHeight w:val="588"/>
          <w:jc w:val="center"/>
        </w:trPr>
        <w:tc>
          <w:tcPr>
            <w:tcW w:w="4395" w:type="dxa"/>
          </w:tcPr>
          <w:p w14:paraId="015C9BBD" w14:textId="77777777" w:rsidR="008A7CA2" w:rsidRDefault="004F5179">
            <w:pPr>
              <w:numPr>
                <w:ilvl w:val="0"/>
                <w:numId w:val="2"/>
              </w:numPr>
              <w:tabs>
                <w:tab w:val="left" w:pos="720"/>
              </w:tabs>
            </w:pPr>
            <w:r>
              <w:t>bugete locale:</w:t>
            </w:r>
          </w:p>
          <w:p w14:paraId="58CF53F0" w14:textId="77777777" w:rsidR="008A7CA2" w:rsidRDefault="004F5179">
            <w:pPr>
              <w:numPr>
                <w:ilvl w:val="0"/>
                <w:numId w:val="7"/>
              </w:numPr>
              <w:tabs>
                <w:tab w:val="left" w:pos="720"/>
              </w:tabs>
            </w:pPr>
            <w:r>
              <w:t>impozit pe profit</w:t>
            </w:r>
          </w:p>
        </w:tc>
        <w:tc>
          <w:tcPr>
            <w:tcW w:w="992" w:type="dxa"/>
          </w:tcPr>
          <w:p w14:paraId="24D3F376" w14:textId="77777777" w:rsidR="008A7CA2" w:rsidRDefault="008A7CA2"/>
        </w:tc>
        <w:tc>
          <w:tcPr>
            <w:tcW w:w="992" w:type="dxa"/>
          </w:tcPr>
          <w:p w14:paraId="722FA991" w14:textId="77777777" w:rsidR="008A7CA2" w:rsidRDefault="008A7CA2"/>
        </w:tc>
        <w:tc>
          <w:tcPr>
            <w:tcW w:w="992" w:type="dxa"/>
          </w:tcPr>
          <w:p w14:paraId="29890641" w14:textId="77777777" w:rsidR="008A7CA2" w:rsidRDefault="008A7CA2"/>
        </w:tc>
        <w:tc>
          <w:tcPr>
            <w:tcW w:w="993" w:type="dxa"/>
          </w:tcPr>
          <w:p w14:paraId="08C1B8B8" w14:textId="77777777" w:rsidR="008A7CA2" w:rsidRDefault="008A7CA2"/>
        </w:tc>
        <w:tc>
          <w:tcPr>
            <w:tcW w:w="992" w:type="dxa"/>
          </w:tcPr>
          <w:p w14:paraId="0AD81ACD" w14:textId="77777777" w:rsidR="008A7CA2" w:rsidRDefault="008A7CA2"/>
        </w:tc>
        <w:tc>
          <w:tcPr>
            <w:tcW w:w="1134" w:type="dxa"/>
          </w:tcPr>
          <w:p w14:paraId="1F88E78B" w14:textId="77777777" w:rsidR="008A7CA2" w:rsidRDefault="008A7CA2"/>
        </w:tc>
      </w:tr>
      <w:tr w:rsidR="008A7CA2" w14:paraId="4D687D4B" w14:textId="77777777">
        <w:trPr>
          <w:trHeight w:val="701"/>
          <w:jc w:val="center"/>
        </w:trPr>
        <w:tc>
          <w:tcPr>
            <w:tcW w:w="4395" w:type="dxa"/>
          </w:tcPr>
          <w:p w14:paraId="1EA929AD" w14:textId="77777777" w:rsidR="008A7CA2" w:rsidRDefault="004F5179">
            <w:pPr>
              <w:numPr>
                <w:ilvl w:val="0"/>
                <w:numId w:val="2"/>
              </w:numPr>
              <w:tabs>
                <w:tab w:val="left" w:pos="273"/>
              </w:tabs>
              <w:ind w:left="0" w:firstLine="0"/>
            </w:pPr>
            <w:r>
              <w:t xml:space="preserve"> bugetul asigurărilor sociale de stat:</w:t>
            </w:r>
          </w:p>
          <w:p w14:paraId="5AB0834D" w14:textId="77777777" w:rsidR="008A7CA2" w:rsidRDefault="004F5179">
            <w:pPr>
              <w:ind w:left="313"/>
            </w:pPr>
            <w:r>
              <w:t xml:space="preserve"> (i)  contribuţii de asigurări</w:t>
            </w:r>
          </w:p>
        </w:tc>
        <w:tc>
          <w:tcPr>
            <w:tcW w:w="992" w:type="dxa"/>
          </w:tcPr>
          <w:p w14:paraId="40A9F651" w14:textId="77777777" w:rsidR="008A7CA2" w:rsidRDefault="008A7CA2"/>
        </w:tc>
        <w:tc>
          <w:tcPr>
            <w:tcW w:w="992" w:type="dxa"/>
          </w:tcPr>
          <w:p w14:paraId="535B56FE" w14:textId="77777777" w:rsidR="008A7CA2" w:rsidRDefault="008A7CA2"/>
        </w:tc>
        <w:tc>
          <w:tcPr>
            <w:tcW w:w="992" w:type="dxa"/>
          </w:tcPr>
          <w:p w14:paraId="722538BE" w14:textId="77777777" w:rsidR="008A7CA2" w:rsidRDefault="008A7CA2"/>
        </w:tc>
        <w:tc>
          <w:tcPr>
            <w:tcW w:w="993" w:type="dxa"/>
          </w:tcPr>
          <w:p w14:paraId="18FED580" w14:textId="77777777" w:rsidR="008A7CA2" w:rsidRDefault="008A7CA2"/>
        </w:tc>
        <w:tc>
          <w:tcPr>
            <w:tcW w:w="992" w:type="dxa"/>
          </w:tcPr>
          <w:p w14:paraId="03514860" w14:textId="77777777" w:rsidR="008A7CA2" w:rsidRDefault="008A7CA2"/>
        </w:tc>
        <w:tc>
          <w:tcPr>
            <w:tcW w:w="1134" w:type="dxa"/>
          </w:tcPr>
          <w:p w14:paraId="6052392E" w14:textId="77777777" w:rsidR="008A7CA2" w:rsidRDefault="008A7CA2"/>
        </w:tc>
      </w:tr>
      <w:tr w:rsidR="008A7CA2" w14:paraId="60387935" w14:textId="77777777">
        <w:trPr>
          <w:trHeight w:val="253"/>
          <w:jc w:val="center"/>
        </w:trPr>
        <w:tc>
          <w:tcPr>
            <w:tcW w:w="4395" w:type="dxa"/>
          </w:tcPr>
          <w:p w14:paraId="3C9B8016" w14:textId="77777777" w:rsidR="008A7CA2" w:rsidRDefault="004F5179">
            <w:pPr>
              <w:numPr>
                <w:ilvl w:val="0"/>
                <w:numId w:val="2"/>
              </w:numPr>
              <w:tabs>
                <w:tab w:val="left" w:pos="313"/>
              </w:tabs>
              <w:ind w:left="0" w:firstLine="0"/>
            </w:pPr>
            <w:r>
              <w:t xml:space="preserve"> alte tipuri de venituri                         </w:t>
            </w:r>
          </w:p>
        </w:tc>
        <w:tc>
          <w:tcPr>
            <w:tcW w:w="992" w:type="dxa"/>
          </w:tcPr>
          <w:p w14:paraId="348D9DAA" w14:textId="77777777" w:rsidR="008A7CA2" w:rsidRDefault="008A7CA2"/>
        </w:tc>
        <w:tc>
          <w:tcPr>
            <w:tcW w:w="992" w:type="dxa"/>
          </w:tcPr>
          <w:p w14:paraId="37E65C26" w14:textId="77777777" w:rsidR="008A7CA2" w:rsidRDefault="008A7CA2"/>
        </w:tc>
        <w:tc>
          <w:tcPr>
            <w:tcW w:w="992" w:type="dxa"/>
          </w:tcPr>
          <w:p w14:paraId="1B69EC08" w14:textId="77777777" w:rsidR="008A7CA2" w:rsidRDefault="008A7CA2"/>
        </w:tc>
        <w:tc>
          <w:tcPr>
            <w:tcW w:w="993" w:type="dxa"/>
          </w:tcPr>
          <w:p w14:paraId="4990BAA9" w14:textId="77777777" w:rsidR="008A7CA2" w:rsidRDefault="008A7CA2"/>
        </w:tc>
        <w:tc>
          <w:tcPr>
            <w:tcW w:w="992" w:type="dxa"/>
          </w:tcPr>
          <w:p w14:paraId="5055B15F" w14:textId="77777777" w:rsidR="008A7CA2" w:rsidRDefault="008A7CA2"/>
        </w:tc>
        <w:tc>
          <w:tcPr>
            <w:tcW w:w="1134" w:type="dxa"/>
          </w:tcPr>
          <w:p w14:paraId="02826A66" w14:textId="77777777" w:rsidR="008A7CA2" w:rsidRDefault="008A7CA2"/>
        </w:tc>
      </w:tr>
      <w:tr w:rsidR="008A7CA2" w14:paraId="32220EA3" w14:textId="77777777">
        <w:trPr>
          <w:trHeight w:val="613"/>
          <w:jc w:val="center"/>
        </w:trPr>
        <w:tc>
          <w:tcPr>
            <w:tcW w:w="4395" w:type="dxa"/>
          </w:tcPr>
          <w:p w14:paraId="718EE243" w14:textId="77777777" w:rsidR="008A7CA2" w:rsidRDefault="004F5179">
            <w:pPr>
              <w:numPr>
                <w:ilvl w:val="1"/>
                <w:numId w:val="6"/>
              </w:numPr>
              <w:pBdr>
                <w:top w:val="nil"/>
                <w:left w:val="nil"/>
                <w:bottom w:val="nil"/>
                <w:right w:val="nil"/>
                <w:between w:val="nil"/>
              </w:pBdr>
              <w:spacing w:line="276" w:lineRule="auto"/>
              <w:ind w:left="313"/>
              <w:rPr>
                <w:b/>
                <w:color w:val="000000"/>
              </w:rPr>
            </w:pPr>
            <w:r>
              <w:rPr>
                <w:b/>
                <w:color w:val="000000"/>
              </w:rPr>
              <w:t xml:space="preserve"> Modificări ale cheltuielilor bugetare plus/minus, din care:</w:t>
            </w:r>
          </w:p>
        </w:tc>
        <w:tc>
          <w:tcPr>
            <w:tcW w:w="992" w:type="dxa"/>
          </w:tcPr>
          <w:p w14:paraId="118B066D" w14:textId="77777777" w:rsidR="008A7CA2" w:rsidRDefault="008A7CA2">
            <w:pPr>
              <w:spacing w:line="276" w:lineRule="auto"/>
              <w:rPr>
                <w:b/>
              </w:rPr>
            </w:pPr>
          </w:p>
        </w:tc>
        <w:tc>
          <w:tcPr>
            <w:tcW w:w="992" w:type="dxa"/>
          </w:tcPr>
          <w:p w14:paraId="1D822E3C" w14:textId="77777777" w:rsidR="008A7CA2" w:rsidRDefault="008A7CA2">
            <w:pPr>
              <w:spacing w:line="276" w:lineRule="auto"/>
              <w:rPr>
                <w:b/>
              </w:rPr>
            </w:pPr>
          </w:p>
        </w:tc>
        <w:tc>
          <w:tcPr>
            <w:tcW w:w="992" w:type="dxa"/>
          </w:tcPr>
          <w:p w14:paraId="263474D6" w14:textId="77777777" w:rsidR="008A7CA2" w:rsidRDefault="008A7CA2">
            <w:pPr>
              <w:spacing w:line="276" w:lineRule="auto"/>
              <w:rPr>
                <w:b/>
              </w:rPr>
            </w:pPr>
          </w:p>
        </w:tc>
        <w:tc>
          <w:tcPr>
            <w:tcW w:w="993" w:type="dxa"/>
          </w:tcPr>
          <w:p w14:paraId="457302B2" w14:textId="77777777" w:rsidR="008A7CA2" w:rsidRDefault="008A7CA2">
            <w:pPr>
              <w:spacing w:line="276" w:lineRule="auto"/>
              <w:rPr>
                <w:b/>
              </w:rPr>
            </w:pPr>
          </w:p>
        </w:tc>
        <w:tc>
          <w:tcPr>
            <w:tcW w:w="992" w:type="dxa"/>
          </w:tcPr>
          <w:p w14:paraId="683B2F0B" w14:textId="77777777" w:rsidR="008A7CA2" w:rsidRDefault="008A7CA2">
            <w:pPr>
              <w:spacing w:line="276" w:lineRule="auto"/>
              <w:rPr>
                <w:b/>
              </w:rPr>
            </w:pPr>
          </w:p>
        </w:tc>
        <w:tc>
          <w:tcPr>
            <w:tcW w:w="1134" w:type="dxa"/>
          </w:tcPr>
          <w:p w14:paraId="4188A4AB" w14:textId="77777777" w:rsidR="008A7CA2" w:rsidRDefault="008A7CA2">
            <w:pPr>
              <w:spacing w:line="276" w:lineRule="auto"/>
              <w:rPr>
                <w:b/>
              </w:rPr>
            </w:pPr>
          </w:p>
        </w:tc>
      </w:tr>
      <w:tr w:rsidR="008A7CA2" w14:paraId="3FCE7369" w14:textId="77777777">
        <w:trPr>
          <w:trHeight w:val="964"/>
          <w:jc w:val="center"/>
        </w:trPr>
        <w:tc>
          <w:tcPr>
            <w:tcW w:w="4395" w:type="dxa"/>
          </w:tcPr>
          <w:p w14:paraId="5F9846E0" w14:textId="77777777" w:rsidR="008A7CA2" w:rsidRDefault="004F5179">
            <w:pPr>
              <w:numPr>
                <w:ilvl w:val="0"/>
                <w:numId w:val="10"/>
              </w:numPr>
              <w:pBdr>
                <w:top w:val="nil"/>
                <w:left w:val="nil"/>
                <w:bottom w:val="nil"/>
                <w:right w:val="nil"/>
                <w:between w:val="nil"/>
              </w:pBdr>
              <w:spacing w:line="276" w:lineRule="auto"/>
              <w:ind w:left="313"/>
            </w:pPr>
            <w:r>
              <w:rPr>
                <w:color w:val="000000"/>
              </w:rPr>
              <w:t>buget de stat, din acesta:</w:t>
            </w:r>
          </w:p>
          <w:p w14:paraId="6FE3DA09" w14:textId="77777777" w:rsidR="008A7CA2" w:rsidRDefault="004F5179">
            <w:pPr>
              <w:numPr>
                <w:ilvl w:val="0"/>
                <w:numId w:val="8"/>
              </w:numPr>
              <w:spacing w:line="276" w:lineRule="auto"/>
            </w:pPr>
            <w:r>
              <w:t>cheltuieli de personal</w:t>
            </w:r>
          </w:p>
          <w:p w14:paraId="1330833C" w14:textId="77777777" w:rsidR="008A7CA2" w:rsidRDefault="004F5179">
            <w:pPr>
              <w:numPr>
                <w:ilvl w:val="0"/>
                <w:numId w:val="8"/>
              </w:numPr>
              <w:spacing w:line="276" w:lineRule="auto"/>
            </w:pPr>
            <w:r>
              <w:t>bunuri şi servicii</w:t>
            </w:r>
          </w:p>
        </w:tc>
        <w:tc>
          <w:tcPr>
            <w:tcW w:w="992" w:type="dxa"/>
          </w:tcPr>
          <w:p w14:paraId="472740EE" w14:textId="77777777" w:rsidR="008A7CA2" w:rsidRDefault="008A7CA2">
            <w:pPr>
              <w:spacing w:line="276" w:lineRule="auto"/>
            </w:pPr>
          </w:p>
        </w:tc>
        <w:tc>
          <w:tcPr>
            <w:tcW w:w="992" w:type="dxa"/>
          </w:tcPr>
          <w:p w14:paraId="47F2C3C6" w14:textId="77777777" w:rsidR="008A7CA2" w:rsidRDefault="008A7CA2">
            <w:pPr>
              <w:spacing w:line="276" w:lineRule="auto"/>
            </w:pPr>
          </w:p>
        </w:tc>
        <w:tc>
          <w:tcPr>
            <w:tcW w:w="992" w:type="dxa"/>
          </w:tcPr>
          <w:p w14:paraId="474D708D" w14:textId="77777777" w:rsidR="008A7CA2" w:rsidRDefault="008A7CA2">
            <w:pPr>
              <w:spacing w:line="276" w:lineRule="auto"/>
            </w:pPr>
          </w:p>
        </w:tc>
        <w:tc>
          <w:tcPr>
            <w:tcW w:w="993" w:type="dxa"/>
          </w:tcPr>
          <w:p w14:paraId="00E3A11A" w14:textId="77777777" w:rsidR="008A7CA2" w:rsidRDefault="008A7CA2">
            <w:pPr>
              <w:spacing w:line="276" w:lineRule="auto"/>
            </w:pPr>
          </w:p>
        </w:tc>
        <w:tc>
          <w:tcPr>
            <w:tcW w:w="992" w:type="dxa"/>
          </w:tcPr>
          <w:p w14:paraId="37A807AF" w14:textId="77777777" w:rsidR="008A7CA2" w:rsidRDefault="008A7CA2">
            <w:pPr>
              <w:spacing w:line="276" w:lineRule="auto"/>
            </w:pPr>
          </w:p>
        </w:tc>
        <w:tc>
          <w:tcPr>
            <w:tcW w:w="1134" w:type="dxa"/>
          </w:tcPr>
          <w:p w14:paraId="443BA8FB" w14:textId="77777777" w:rsidR="008A7CA2" w:rsidRDefault="008A7CA2">
            <w:pPr>
              <w:spacing w:line="276" w:lineRule="auto"/>
            </w:pPr>
          </w:p>
        </w:tc>
      </w:tr>
      <w:tr w:rsidR="008A7CA2" w14:paraId="513142F8" w14:textId="77777777">
        <w:trPr>
          <w:trHeight w:val="964"/>
          <w:jc w:val="center"/>
        </w:trPr>
        <w:tc>
          <w:tcPr>
            <w:tcW w:w="4395" w:type="dxa"/>
          </w:tcPr>
          <w:p w14:paraId="6E2E4EE5" w14:textId="77777777" w:rsidR="008A7CA2" w:rsidRDefault="004F5179">
            <w:pPr>
              <w:numPr>
                <w:ilvl w:val="1"/>
                <w:numId w:val="8"/>
              </w:numPr>
              <w:spacing w:line="276" w:lineRule="auto"/>
              <w:ind w:left="360"/>
            </w:pPr>
            <w:r>
              <w:t>bugete locale:</w:t>
            </w:r>
          </w:p>
          <w:p w14:paraId="01959989" w14:textId="77777777" w:rsidR="008A7CA2" w:rsidRDefault="004F5179">
            <w:pPr>
              <w:numPr>
                <w:ilvl w:val="0"/>
                <w:numId w:val="11"/>
              </w:numPr>
              <w:spacing w:line="276" w:lineRule="auto"/>
            </w:pPr>
            <w:r>
              <w:t>cheltuieli de personal</w:t>
            </w:r>
          </w:p>
          <w:p w14:paraId="632FD770" w14:textId="77777777" w:rsidR="008A7CA2" w:rsidRDefault="004F5179">
            <w:pPr>
              <w:numPr>
                <w:ilvl w:val="0"/>
                <w:numId w:val="11"/>
              </w:numPr>
              <w:spacing w:line="276" w:lineRule="auto"/>
            </w:pPr>
            <w:r>
              <w:t>bunuri şi servicii</w:t>
            </w:r>
          </w:p>
        </w:tc>
        <w:tc>
          <w:tcPr>
            <w:tcW w:w="992" w:type="dxa"/>
          </w:tcPr>
          <w:p w14:paraId="3D68C625" w14:textId="77777777" w:rsidR="008A7CA2" w:rsidRDefault="008A7CA2">
            <w:pPr>
              <w:spacing w:line="276" w:lineRule="auto"/>
            </w:pPr>
          </w:p>
        </w:tc>
        <w:tc>
          <w:tcPr>
            <w:tcW w:w="992" w:type="dxa"/>
          </w:tcPr>
          <w:p w14:paraId="7786524E" w14:textId="77777777" w:rsidR="008A7CA2" w:rsidRDefault="008A7CA2">
            <w:pPr>
              <w:spacing w:line="276" w:lineRule="auto"/>
            </w:pPr>
          </w:p>
        </w:tc>
        <w:tc>
          <w:tcPr>
            <w:tcW w:w="992" w:type="dxa"/>
          </w:tcPr>
          <w:p w14:paraId="77106482" w14:textId="77777777" w:rsidR="008A7CA2" w:rsidRDefault="008A7CA2">
            <w:pPr>
              <w:spacing w:line="276" w:lineRule="auto"/>
            </w:pPr>
          </w:p>
        </w:tc>
        <w:tc>
          <w:tcPr>
            <w:tcW w:w="993" w:type="dxa"/>
          </w:tcPr>
          <w:p w14:paraId="4AECB7E7" w14:textId="77777777" w:rsidR="008A7CA2" w:rsidRDefault="008A7CA2">
            <w:pPr>
              <w:spacing w:line="276" w:lineRule="auto"/>
            </w:pPr>
          </w:p>
        </w:tc>
        <w:tc>
          <w:tcPr>
            <w:tcW w:w="992" w:type="dxa"/>
          </w:tcPr>
          <w:p w14:paraId="7657E950" w14:textId="77777777" w:rsidR="008A7CA2" w:rsidRDefault="008A7CA2">
            <w:pPr>
              <w:spacing w:line="276" w:lineRule="auto"/>
            </w:pPr>
          </w:p>
        </w:tc>
        <w:tc>
          <w:tcPr>
            <w:tcW w:w="1134" w:type="dxa"/>
          </w:tcPr>
          <w:p w14:paraId="259E9E72" w14:textId="77777777" w:rsidR="008A7CA2" w:rsidRDefault="008A7CA2">
            <w:pPr>
              <w:spacing w:line="276" w:lineRule="auto"/>
            </w:pPr>
          </w:p>
        </w:tc>
      </w:tr>
      <w:tr w:rsidR="008A7CA2" w14:paraId="36732000" w14:textId="77777777">
        <w:trPr>
          <w:trHeight w:val="826"/>
          <w:jc w:val="center"/>
        </w:trPr>
        <w:tc>
          <w:tcPr>
            <w:tcW w:w="4395" w:type="dxa"/>
          </w:tcPr>
          <w:p w14:paraId="69E30FD7" w14:textId="77777777" w:rsidR="008A7CA2" w:rsidRDefault="004F5179">
            <w:pPr>
              <w:spacing w:line="276" w:lineRule="auto"/>
              <w:ind w:left="171" w:hanging="171"/>
            </w:pPr>
            <w:r>
              <w:t>c)   bugetul asigurărilor sociale de stat:</w:t>
            </w:r>
          </w:p>
          <w:p w14:paraId="46E38C96" w14:textId="77777777" w:rsidR="008A7CA2" w:rsidRDefault="004F5179">
            <w:pPr>
              <w:numPr>
                <w:ilvl w:val="0"/>
                <w:numId w:val="5"/>
              </w:numPr>
              <w:spacing w:line="276" w:lineRule="auto"/>
              <w:ind w:left="596" w:hanging="283"/>
            </w:pPr>
            <w:r>
              <w:t xml:space="preserve"> cheltuieli de personal </w:t>
            </w:r>
          </w:p>
          <w:p w14:paraId="22953C66" w14:textId="77777777" w:rsidR="008A7CA2" w:rsidRDefault="004F5179">
            <w:pPr>
              <w:spacing w:line="276" w:lineRule="auto"/>
              <w:ind w:left="313"/>
            </w:pPr>
            <w:r>
              <w:t>(ii) bunuri şi servicii</w:t>
            </w:r>
          </w:p>
        </w:tc>
        <w:tc>
          <w:tcPr>
            <w:tcW w:w="992" w:type="dxa"/>
          </w:tcPr>
          <w:p w14:paraId="523AC9BA" w14:textId="77777777" w:rsidR="008A7CA2" w:rsidRDefault="008A7CA2">
            <w:pPr>
              <w:spacing w:line="276" w:lineRule="auto"/>
            </w:pPr>
          </w:p>
        </w:tc>
        <w:tc>
          <w:tcPr>
            <w:tcW w:w="992" w:type="dxa"/>
          </w:tcPr>
          <w:p w14:paraId="3459D903" w14:textId="77777777" w:rsidR="008A7CA2" w:rsidRDefault="008A7CA2">
            <w:pPr>
              <w:spacing w:line="276" w:lineRule="auto"/>
            </w:pPr>
          </w:p>
        </w:tc>
        <w:tc>
          <w:tcPr>
            <w:tcW w:w="992" w:type="dxa"/>
          </w:tcPr>
          <w:p w14:paraId="75E705E7" w14:textId="77777777" w:rsidR="008A7CA2" w:rsidRDefault="008A7CA2">
            <w:pPr>
              <w:spacing w:line="276" w:lineRule="auto"/>
            </w:pPr>
          </w:p>
        </w:tc>
        <w:tc>
          <w:tcPr>
            <w:tcW w:w="993" w:type="dxa"/>
          </w:tcPr>
          <w:p w14:paraId="3ADA6980" w14:textId="77777777" w:rsidR="008A7CA2" w:rsidRDefault="008A7CA2">
            <w:pPr>
              <w:spacing w:line="276" w:lineRule="auto"/>
            </w:pPr>
          </w:p>
        </w:tc>
        <w:tc>
          <w:tcPr>
            <w:tcW w:w="992" w:type="dxa"/>
          </w:tcPr>
          <w:p w14:paraId="680E33A2" w14:textId="77777777" w:rsidR="008A7CA2" w:rsidRDefault="008A7CA2">
            <w:pPr>
              <w:spacing w:line="276" w:lineRule="auto"/>
            </w:pPr>
          </w:p>
        </w:tc>
        <w:tc>
          <w:tcPr>
            <w:tcW w:w="1134" w:type="dxa"/>
          </w:tcPr>
          <w:p w14:paraId="03DFA96B" w14:textId="77777777" w:rsidR="008A7CA2" w:rsidRDefault="008A7CA2">
            <w:pPr>
              <w:spacing w:line="276" w:lineRule="auto"/>
            </w:pPr>
          </w:p>
        </w:tc>
      </w:tr>
      <w:tr w:rsidR="008A7CA2" w14:paraId="4808A72F" w14:textId="77777777">
        <w:trPr>
          <w:trHeight w:val="291"/>
          <w:jc w:val="center"/>
        </w:trPr>
        <w:tc>
          <w:tcPr>
            <w:tcW w:w="4395" w:type="dxa"/>
          </w:tcPr>
          <w:p w14:paraId="799F6754" w14:textId="77777777" w:rsidR="008A7CA2" w:rsidRDefault="004F5179">
            <w:pPr>
              <w:spacing w:line="276" w:lineRule="auto"/>
              <w:ind w:left="454" w:hanging="454"/>
            </w:pPr>
            <w:r>
              <w:t>d)  alte tipuri de cheltuieli</w:t>
            </w:r>
          </w:p>
        </w:tc>
        <w:tc>
          <w:tcPr>
            <w:tcW w:w="992" w:type="dxa"/>
          </w:tcPr>
          <w:p w14:paraId="734BFEB8" w14:textId="77777777" w:rsidR="008A7CA2" w:rsidRDefault="008A7CA2">
            <w:pPr>
              <w:spacing w:line="276" w:lineRule="auto"/>
            </w:pPr>
          </w:p>
        </w:tc>
        <w:tc>
          <w:tcPr>
            <w:tcW w:w="992" w:type="dxa"/>
          </w:tcPr>
          <w:p w14:paraId="4577C6C3" w14:textId="77777777" w:rsidR="008A7CA2" w:rsidRDefault="008A7CA2">
            <w:pPr>
              <w:spacing w:line="276" w:lineRule="auto"/>
            </w:pPr>
          </w:p>
        </w:tc>
        <w:tc>
          <w:tcPr>
            <w:tcW w:w="992" w:type="dxa"/>
          </w:tcPr>
          <w:p w14:paraId="1F1112AA" w14:textId="77777777" w:rsidR="008A7CA2" w:rsidRDefault="008A7CA2">
            <w:pPr>
              <w:spacing w:line="276" w:lineRule="auto"/>
            </w:pPr>
          </w:p>
        </w:tc>
        <w:tc>
          <w:tcPr>
            <w:tcW w:w="993" w:type="dxa"/>
          </w:tcPr>
          <w:p w14:paraId="6D05C5D8" w14:textId="77777777" w:rsidR="008A7CA2" w:rsidRDefault="008A7CA2">
            <w:pPr>
              <w:spacing w:line="276" w:lineRule="auto"/>
            </w:pPr>
          </w:p>
        </w:tc>
        <w:tc>
          <w:tcPr>
            <w:tcW w:w="992" w:type="dxa"/>
          </w:tcPr>
          <w:p w14:paraId="1183D141" w14:textId="77777777" w:rsidR="008A7CA2" w:rsidRDefault="008A7CA2">
            <w:pPr>
              <w:spacing w:line="276" w:lineRule="auto"/>
            </w:pPr>
          </w:p>
        </w:tc>
        <w:tc>
          <w:tcPr>
            <w:tcW w:w="1134" w:type="dxa"/>
          </w:tcPr>
          <w:p w14:paraId="08FF5FBE" w14:textId="77777777" w:rsidR="008A7CA2" w:rsidRDefault="008A7CA2">
            <w:pPr>
              <w:spacing w:line="276" w:lineRule="auto"/>
            </w:pPr>
          </w:p>
        </w:tc>
      </w:tr>
      <w:tr w:rsidR="008A7CA2" w14:paraId="6928ABD0" w14:textId="77777777" w:rsidTr="00814206">
        <w:trPr>
          <w:trHeight w:val="412"/>
          <w:jc w:val="center"/>
        </w:trPr>
        <w:tc>
          <w:tcPr>
            <w:tcW w:w="4395" w:type="dxa"/>
          </w:tcPr>
          <w:p w14:paraId="0F028188" w14:textId="77777777" w:rsidR="008A7CA2" w:rsidRDefault="004F5179">
            <w:pPr>
              <w:spacing w:line="276" w:lineRule="auto"/>
              <w:rPr>
                <w:b/>
              </w:rPr>
            </w:pPr>
            <w:r>
              <w:rPr>
                <w:b/>
              </w:rPr>
              <w:t>4.3. Impact financiar, plus/minus, din care:</w:t>
            </w:r>
          </w:p>
          <w:p w14:paraId="6E2FEE82" w14:textId="77777777" w:rsidR="008A7CA2" w:rsidRDefault="004F5179">
            <w:pPr>
              <w:numPr>
                <w:ilvl w:val="0"/>
                <w:numId w:val="12"/>
              </w:numPr>
              <w:spacing w:line="276" w:lineRule="auto"/>
              <w:rPr>
                <w:b/>
              </w:rPr>
            </w:pPr>
            <w:r>
              <w:rPr>
                <w:b/>
              </w:rPr>
              <w:t>buget de stat</w:t>
            </w:r>
          </w:p>
        </w:tc>
        <w:tc>
          <w:tcPr>
            <w:tcW w:w="992" w:type="dxa"/>
          </w:tcPr>
          <w:p w14:paraId="3FDDE298" w14:textId="77777777" w:rsidR="008A7CA2" w:rsidRDefault="008A7CA2">
            <w:pPr>
              <w:spacing w:line="276" w:lineRule="auto"/>
              <w:rPr>
                <w:b/>
              </w:rPr>
            </w:pPr>
          </w:p>
        </w:tc>
        <w:tc>
          <w:tcPr>
            <w:tcW w:w="992" w:type="dxa"/>
          </w:tcPr>
          <w:p w14:paraId="3E4AB451" w14:textId="77777777" w:rsidR="008A7CA2" w:rsidRDefault="008A7CA2">
            <w:pPr>
              <w:spacing w:line="276" w:lineRule="auto"/>
              <w:rPr>
                <w:b/>
              </w:rPr>
            </w:pPr>
          </w:p>
        </w:tc>
        <w:tc>
          <w:tcPr>
            <w:tcW w:w="992" w:type="dxa"/>
          </w:tcPr>
          <w:p w14:paraId="52F44BC2" w14:textId="77777777" w:rsidR="008A7CA2" w:rsidRDefault="008A7CA2">
            <w:pPr>
              <w:spacing w:line="276" w:lineRule="auto"/>
              <w:rPr>
                <w:b/>
              </w:rPr>
            </w:pPr>
          </w:p>
        </w:tc>
        <w:tc>
          <w:tcPr>
            <w:tcW w:w="993" w:type="dxa"/>
          </w:tcPr>
          <w:p w14:paraId="010B447F" w14:textId="77777777" w:rsidR="008A7CA2" w:rsidRDefault="008A7CA2">
            <w:pPr>
              <w:spacing w:line="276" w:lineRule="auto"/>
              <w:rPr>
                <w:b/>
              </w:rPr>
            </w:pPr>
          </w:p>
        </w:tc>
        <w:tc>
          <w:tcPr>
            <w:tcW w:w="992" w:type="dxa"/>
          </w:tcPr>
          <w:p w14:paraId="284F68A5" w14:textId="77777777" w:rsidR="008A7CA2" w:rsidRDefault="008A7CA2">
            <w:pPr>
              <w:spacing w:line="276" w:lineRule="auto"/>
              <w:rPr>
                <w:b/>
              </w:rPr>
            </w:pPr>
          </w:p>
        </w:tc>
        <w:tc>
          <w:tcPr>
            <w:tcW w:w="1134" w:type="dxa"/>
          </w:tcPr>
          <w:p w14:paraId="096E57BD" w14:textId="77777777" w:rsidR="008A7CA2" w:rsidRDefault="008A7CA2">
            <w:pPr>
              <w:spacing w:line="276" w:lineRule="auto"/>
              <w:rPr>
                <w:b/>
              </w:rPr>
            </w:pPr>
          </w:p>
        </w:tc>
      </w:tr>
      <w:tr w:rsidR="008A7CA2" w14:paraId="67F8EDB4" w14:textId="77777777">
        <w:trPr>
          <w:trHeight w:val="338"/>
          <w:jc w:val="center"/>
        </w:trPr>
        <w:tc>
          <w:tcPr>
            <w:tcW w:w="4395" w:type="dxa"/>
          </w:tcPr>
          <w:p w14:paraId="58542AF5" w14:textId="77777777" w:rsidR="008A7CA2" w:rsidRDefault="004F5179">
            <w:pPr>
              <w:numPr>
                <w:ilvl w:val="0"/>
                <w:numId w:val="12"/>
              </w:numPr>
              <w:spacing w:line="276" w:lineRule="auto"/>
            </w:pPr>
            <w:r>
              <w:t>bugete locale</w:t>
            </w:r>
          </w:p>
        </w:tc>
        <w:tc>
          <w:tcPr>
            <w:tcW w:w="992" w:type="dxa"/>
          </w:tcPr>
          <w:p w14:paraId="3000D9D0" w14:textId="77777777" w:rsidR="008A7CA2" w:rsidRDefault="008A7CA2">
            <w:pPr>
              <w:spacing w:line="276" w:lineRule="auto"/>
            </w:pPr>
          </w:p>
        </w:tc>
        <w:tc>
          <w:tcPr>
            <w:tcW w:w="992" w:type="dxa"/>
          </w:tcPr>
          <w:p w14:paraId="2BB0CE1D" w14:textId="77777777" w:rsidR="008A7CA2" w:rsidRDefault="008A7CA2">
            <w:pPr>
              <w:spacing w:line="276" w:lineRule="auto"/>
            </w:pPr>
          </w:p>
        </w:tc>
        <w:tc>
          <w:tcPr>
            <w:tcW w:w="992" w:type="dxa"/>
          </w:tcPr>
          <w:p w14:paraId="38E0084D" w14:textId="77777777" w:rsidR="008A7CA2" w:rsidRDefault="008A7CA2">
            <w:pPr>
              <w:spacing w:line="276" w:lineRule="auto"/>
            </w:pPr>
          </w:p>
        </w:tc>
        <w:tc>
          <w:tcPr>
            <w:tcW w:w="993" w:type="dxa"/>
          </w:tcPr>
          <w:p w14:paraId="05AB3CAE" w14:textId="77777777" w:rsidR="008A7CA2" w:rsidRDefault="008A7CA2">
            <w:pPr>
              <w:spacing w:line="276" w:lineRule="auto"/>
            </w:pPr>
          </w:p>
        </w:tc>
        <w:tc>
          <w:tcPr>
            <w:tcW w:w="992" w:type="dxa"/>
          </w:tcPr>
          <w:p w14:paraId="1543965C" w14:textId="77777777" w:rsidR="008A7CA2" w:rsidRDefault="008A7CA2">
            <w:pPr>
              <w:spacing w:line="276" w:lineRule="auto"/>
            </w:pPr>
          </w:p>
        </w:tc>
        <w:tc>
          <w:tcPr>
            <w:tcW w:w="1134" w:type="dxa"/>
          </w:tcPr>
          <w:p w14:paraId="5CEC1545" w14:textId="77777777" w:rsidR="008A7CA2" w:rsidRDefault="008A7CA2">
            <w:pPr>
              <w:spacing w:line="276" w:lineRule="auto"/>
            </w:pPr>
          </w:p>
        </w:tc>
      </w:tr>
      <w:tr w:rsidR="008A7CA2" w14:paraId="29842EBB" w14:textId="77777777">
        <w:trPr>
          <w:jc w:val="center"/>
        </w:trPr>
        <w:tc>
          <w:tcPr>
            <w:tcW w:w="4395" w:type="dxa"/>
          </w:tcPr>
          <w:p w14:paraId="53C3F2F9" w14:textId="77777777" w:rsidR="008A7CA2" w:rsidRDefault="004F5179">
            <w:pPr>
              <w:spacing w:line="276" w:lineRule="auto"/>
              <w:rPr>
                <w:b/>
              </w:rPr>
            </w:pPr>
            <w:r>
              <w:rPr>
                <w:b/>
              </w:rPr>
              <w:t>4.4. Propuneri pentru acoperirea creşterii cheltuielilor bugetare</w:t>
            </w:r>
          </w:p>
        </w:tc>
        <w:tc>
          <w:tcPr>
            <w:tcW w:w="992" w:type="dxa"/>
          </w:tcPr>
          <w:p w14:paraId="1F4D1978" w14:textId="77777777" w:rsidR="008A7CA2" w:rsidRDefault="008A7CA2">
            <w:pPr>
              <w:spacing w:line="276" w:lineRule="auto"/>
              <w:rPr>
                <w:b/>
              </w:rPr>
            </w:pPr>
          </w:p>
        </w:tc>
        <w:tc>
          <w:tcPr>
            <w:tcW w:w="992" w:type="dxa"/>
          </w:tcPr>
          <w:p w14:paraId="6BD6D05B" w14:textId="77777777" w:rsidR="008A7CA2" w:rsidRDefault="008A7CA2">
            <w:pPr>
              <w:spacing w:line="276" w:lineRule="auto"/>
              <w:rPr>
                <w:b/>
              </w:rPr>
            </w:pPr>
          </w:p>
        </w:tc>
        <w:tc>
          <w:tcPr>
            <w:tcW w:w="992" w:type="dxa"/>
          </w:tcPr>
          <w:p w14:paraId="2B042301" w14:textId="77777777" w:rsidR="008A7CA2" w:rsidRDefault="008A7CA2">
            <w:pPr>
              <w:spacing w:line="276" w:lineRule="auto"/>
              <w:rPr>
                <w:b/>
              </w:rPr>
            </w:pPr>
          </w:p>
        </w:tc>
        <w:tc>
          <w:tcPr>
            <w:tcW w:w="993" w:type="dxa"/>
          </w:tcPr>
          <w:p w14:paraId="58BF9F39" w14:textId="77777777" w:rsidR="008A7CA2" w:rsidRDefault="008A7CA2">
            <w:pPr>
              <w:spacing w:line="276" w:lineRule="auto"/>
              <w:rPr>
                <w:b/>
              </w:rPr>
            </w:pPr>
          </w:p>
        </w:tc>
        <w:tc>
          <w:tcPr>
            <w:tcW w:w="992" w:type="dxa"/>
          </w:tcPr>
          <w:p w14:paraId="4A4C40F2" w14:textId="77777777" w:rsidR="008A7CA2" w:rsidRDefault="008A7CA2">
            <w:pPr>
              <w:spacing w:line="276" w:lineRule="auto"/>
              <w:rPr>
                <w:b/>
              </w:rPr>
            </w:pPr>
          </w:p>
        </w:tc>
        <w:tc>
          <w:tcPr>
            <w:tcW w:w="1134" w:type="dxa"/>
          </w:tcPr>
          <w:p w14:paraId="6A646BB0" w14:textId="77777777" w:rsidR="008A7CA2" w:rsidRDefault="008A7CA2">
            <w:pPr>
              <w:spacing w:line="276" w:lineRule="auto"/>
              <w:rPr>
                <w:b/>
              </w:rPr>
            </w:pPr>
          </w:p>
        </w:tc>
      </w:tr>
      <w:tr w:rsidR="008A7CA2" w14:paraId="17884458" w14:textId="77777777">
        <w:trPr>
          <w:jc w:val="center"/>
        </w:trPr>
        <w:tc>
          <w:tcPr>
            <w:tcW w:w="4395" w:type="dxa"/>
          </w:tcPr>
          <w:p w14:paraId="4F019612" w14:textId="77777777" w:rsidR="008A7CA2" w:rsidRDefault="004F5179">
            <w:pPr>
              <w:spacing w:line="276" w:lineRule="auto"/>
              <w:rPr>
                <w:b/>
              </w:rPr>
            </w:pPr>
            <w:r>
              <w:rPr>
                <w:b/>
              </w:rPr>
              <w:t>4.5. Propuneri pentru a compensa reducerea veniturilor bugetare</w:t>
            </w:r>
          </w:p>
        </w:tc>
        <w:tc>
          <w:tcPr>
            <w:tcW w:w="992" w:type="dxa"/>
          </w:tcPr>
          <w:p w14:paraId="0AE71E16" w14:textId="77777777" w:rsidR="008A7CA2" w:rsidRDefault="008A7CA2">
            <w:pPr>
              <w:spacing w:line="276" w:lineRule="auto"/>
              <w:rPr>
                <w:b/>
              </w:rPr>
            </w:pPr>
          </w:p>
        </w:tc>
        <w:tc>
          <w:tcPr>
            <w:tcW w:w="992" w:type="dxa"/>
          </w:tcPr>
          <w:p w14:paraId="5F79FAE5" w14:textId="77777777" w:rsidR="008A7CA2" w:rsidRDefault="008A7CA2">
            <w:pPr>
              <w:spacing w:line="276" w:lineRule="auto"/>
              <w:rPr>
                <w:b/>
              </w:rPr>
            </w:pPr>
          </w:p>
        </w:tc>
        <w:tc>
          <w:tcPr>
            <w:tcW w:w="992" w:type="dxa"/>
          </w:tcPr>
          <w:p w14:paraId="659B1947" w14:textId="77777777" w:rsidR="008A7CA2" w:rsidRDefault="008A7CA2">
            <w:pPr>
              <w:spacing w:line="276" w:lineRule="auto"/>
              <w:rPr>
                <w:b/>
              </w:rPr>
            </w:pPr>
          </w:p>
        </w:tc>
        <w:tc>
          <w:tcPr>
            <w:tcW w:w="993" w:type="dxa"/>
          </w:tcPr>
          <w:p w14:paraId="0A259CD3" w14:textId="77777777" w:rsidR="008A7CA2" w:rsidRDefault="008A7CA2">
            <w:pPr>
              <w:spacing w:line="276" w:lineRule="auto"/>
              <w:rPr>
                <w:b/>
              </w:rPr>
            </w:pPr>
          </w:p>
        </w:tc>
        <w:tc>
          <w:tcPr>
            <w:tcW w:w="992" w:type="dxa"/>
          </w:tcPr>
          <w:p w14:paraId="5FFE10EF" w14:textId="77777777" w:rsidR="008A7CA2" w:rsidRDefault="008A7CA2">
            <w:pPr>
              <w:spacing w:line="276" w:lineRule="auto"/>
              <w:rPr>
                <w:b/>
              </w:rPr>
            </w:pPr>
          </w:p>
        </w:tc>
        <w:tc>
          <w:tcPr>
            <w:tcW w:w="1134" w:type="dxa"/>
          </w:tcPr>
          <w:p w14:paraId="30DC8933" w14:textId="77777777" w:rsidR="008A7CA2" w:rsidRDefault="008A7CA2">
            <w:pPr>
              <w:spacing w:line="276" w:lineRule="auto"/>
              <w:rPr>
                <w:b/>
              </w:rPr>
            </w:pPr>
          </w:p>
        </w:tc>
      </w:tr>
      <w:tr w:rsidR="008A7CA2" w14:paraId="3DFA1DEA" w14:textId="77777777">
        <w:trPr>
          <w:jc w:val="center"/>
        </w:trPr>
        <w:tc>
          <w:tcPr>
            <w:tcW w:w="4395" w:type="dxa"/>
          </w:tcPr>
          <w:p w14:paraId="61B29D23" w14:textId="77777777" w:rsidR="008A7CA2" w:rsidRDefault="004F5179">
            <w:pPr>
              <w:spacing w:line="276" w:lineRule="auto"/>
              <w:rPr>
                <w:b/>
              </w:rPr>
            </w:pPr>
            <w:r>
              <w:rPr>
                <w:b/>
              </w:rPr>
              <w:t>4.6. Calcule detaliate privind fundamentarea modificărilor veniturilor şi/sau cheltuielilor bugetare</w:t>
            </w:r>
          </w:p>
        </w:tc>
        <w:tc>
          <w:tcPr>
            <w:tcW w:w="992" w:type="dxa"/>
          </w:tcPr>
          <w:p w14:paraId="1C433842" w14:textId="77777777" w:rsidR="008A7CA2" w:rsidRDefault="008A7CA2">
            <w:pPr>
              <w:spacing w:line="276" w:lineRule="auto"/>
              <w:rPr>
                <w:b/>
              </w:rPr>
            </w:pPr>
          </w:p>
        </w:tc>
        <w:tc>
          <w:tcPr>
            <w:tcW w:w="992" w:type="dxa"/>
          </w:tcPr>
          <w:p w14:paraId="59D20F12" w14:textId="77777777" w:rsidR="008A7CA2" w:rsidRDefault="008A7CA2">
            <w:pPr>
              <w:spacing w:line="276" w:lineRule="auto"/>
              <w:rPr>
                <w:b/>
              </w:rPr>
            </w:pPr>
          </w:p>
        </w:tc>
        <w:tc>
          <w:tcPr>
            <w:tcW w:w="992" w:type="dxa"/>
          </w:tcPr>
          <w:p w14:paraId="6A99103C" w14:textId="77777777" w:rsidR="008A7CA2" w:rsidRDefault="008A7CA2">
            <w:pPr>
              <w:spacing w:line="276" w:lineRule="auto"/>
              <w:rPr>
                <w:b/>
              </w:rPr>
            </w:pPr>
          </w:p>
        </w:tc>
        <w:tc>
          <w:tcPr>
            <w:tcW w:w="993" w:type="dxa"/>
          </w:tcPr>
          <w:p w14:paraId="0D10C0D1" w14:textId="77777777" w:rsidR="008A7CA2" w:rsidRDefault="008A7CA2">
            <w:pPr>
              <w:spacing w:line="276" w:lineRule="auto"/>
              <w:rPr>
                <w:b/>
              </w:rPr>
            </w:pPr>
          </w:p>
        </w:tc>
        <w:tc>
          <w:tcPr>
            <w:tcW w:w="992" w:type="dxa"/>
          </w:tcPr>
          <w:p w14:paraId="56C1BE6F" w14:textId="77777777" w:rsidR="008A7CA2" w:rsidRDefault="008A7CA2">
            <w:pPr>
              <w:spacing w:line="276" w:lineRule="auto"/>
              <w:rPr>
                <w:b/>
              </w:rPr>
            </w:pPr>
          </w:p>
        </w:tc>
        <w:tc>
          <w:tcPr>
            <w:tcW w:w="1134" w:type="dxa"/>
          </w:tcPr>
          <w:p w14:paraId="61B37E1E" w14:textId="77777777" w:rsidR="008A7CA2" w:rsidRDefault="008A7CA2">
            <w:pPr>
              <w:spacing w:line="276" w:lineRule="auto"/>
              <w:rPr>
                <w:b/>
              </w:rPr>
            </w:pPr>
          </w:p>
        </w:tc>
      </w:tr>
      <w:tr w:rsidR="008A7CA2" w14:paraId="318E5602" w14:textId="77777777">
        <w:trPr>
          <w:jc w:val="center"/>
        </w:trPr>
        <w:tc>
          <w:tcPr>
            <w:tcW w:w="10490" w:type="dxa"/>
            <w:gridSpan w:val="7"/>
          </w:tcPr>
          <w:p w14:paraId="634E3A0B" w14:textId="77777777" w:rsidR="008144E5" w:rsidRDefault="008144E5">
            <w:pPr>
              <w:spacing w:line="276" w:lineRule="auto"/>
              <w:jc w:val="both"/>
              <w:rPr>
                <w:b/>
              </w:rPr>
            </w:pPr>
          </w:p>
          <w:p w14:paraId="3F5A6BC1" w14:textId="6C110087" w:rsidR="008A7CA2" w:rsidRDefault="004F5179">
            <w:pPr>
              <w:spacing w:line="276" w:lineRule="auto"/>
              <w:jc w:val="both"/>
              <w:rPr>
                <w:b/>
              </w:rPr>
            </w:pPr>
            <w:r>
              <w:rPr>
                <w:b/>
              </w:rPr>
              <w:t xml:space="preserve">4.7. Prezentarea, în cazul proiectelor de acte normative a căror adoptare atrage majorarea cheltuielilor bugetare, a următoarelor documente: </w:t>
            </w:r>
          </w:p>
          <w:p w14:paraId="0AE4AB7A" w14:textId="77777777" w:rsidR="008A7CA2" w:rsidRDefault="004F5179">
            <w:pPr>
              <w:spacing w:line="276" w:lineRule="auto"/>
              <w:jc w:val="both"/>
              <w:rPr>
                <w:b/>
              </w:rPr>
            </w:pPr>
            <w:r>
              <w:rPr>
                <w:b/>
              </w:rPr>
              <w:t xml:space="preserve">a) fișa financiară prevăzută la art. 15 din Legea nr. 500/2002 privind finanțele publice, cu modificările și completările ulterioare, însoțită de ipotezele și metodologia de calcul utilizată; </w:t>
            </w:r>
          </w:p>
          <w:p w14:paraId="01930B11" w14:textId="77777777" w:rsidR="008A7CA2" w:rsidRDefault="004F5179">
            <w:pPr>
              <w:spacing w:after="240"/>
              <w:jc w:val="both"/>
              <w:rPr>
                <w:b/>
              </w:rPr>
            </w:pPr>
            <w:r>
              <w:rPr>
                <w:b/>
              </w:rPr>
              <w:lastRenderedPageBreak/>
              <w:t>b) declarație conform căreia majorarea de cheltuială respectivă este compatibilă cu obiectivele și prioritățile strategice specificate în strategia fiscal-bugetară, cu legea bugetară anuală și cu plafoanele de cheltuieli prezentate în strategia fiscal-bugetară.</w:t>
            </w:r>
          </w:p>
          <w:p w14:paraId="011C30F2" w14:textId="77777777" w:rsidR="008A7CA2" w:rsidRDefault="004F5179">
            <w:pPr>
              <w:spacing w:line="276" w:lineRule="auto"/>
              <w:jc w:val="both"/>
            </w:pPr>
            <w:r>
              <w:t>Proiectul de act normativ nu se referă la acest subiect.</w:t>
            </w:r>
          </w:p>
        </w:tc>
      </w:tr>
      <w:tr w:rsidR="008A7CA2" w14:paraId="14C4B766" w14:textId="77777777">
        <w:trPr>
          <w:jc w:val="center"/>
        </w:trPr>
        <w:tc>
          <w:tcPr>
            <w:tcW w:w="10490" w:type="dxa"/>
            <w:gridSpan w:val="7"/>
          </w:tcPr>
          <w:p w14:paraId="3C866281" w14:textId="77777777" w:rsidR="008A7CA2" w:rsidRDefault="004F5179">
            <w:pPr>
              <w:spacing w:after="240"/>
              <w:rPr>
                <w:b/>
                <w:color w:val="4472C4"/>
              </w:rPr>
            </w:pPr>
            <w:r>
              <w:rPr>
                <w:b/>
              </w:rPr>
              <w:lastRenderedPageBreak/>
              <w:t>4.8. Alte informaţii</w:t>
            </w:r>
          </w:p>
          <w:p w14:paraId="0A7DBCE8" w14:textId="77777777" w:rsidR="008A7CA2" w:rsidRDefault="004F5179">
            <w:pPr>
              <w:rPr>
                <w:color w:val="4472C4"/>
              </w:rPr>
            </w:pPr>
            <w:r>
              <w:t>Proiectul de act normativ nu se referă la acest subiect.</w:t>
            </w:r>
          </w:p>
        </w:tc>
      </w:tr>
      <w:tr w:rsidR="008A7CA2" w14:paraId="03505E33" w14:textId="77777777">
        <w:trPr>
          <w:trHeight w:val="636"/>
          <w:jc w:val="center"/>
        </w:trPr>
        <w:tc>
          <w:tcPr>
            <w:tcW w:w="10490" w:type="dxa"/>
            <w:gridSpan w:val="7"/>
          </w:tcPr>
          <w:p w14:paraId="59BC707C" w14:textId="77777777" w:rsidR="008A7CA2" w:rsidRDefault="004F5179">
            <w:pPr>
              <w:tabs>
                <w:tab w:val="left" w:pos="4507"/>
              </w:tabs>
              <w:spacing w:before="120"/>
              <w:jc w:val="center"/>
              <w:rPr>
                <w:b/>
              </w:rPr>
            </w:pPr>
            <w:r>
              <w:rPr>
                <w:b/>
              </w:rPr>
              <w:t>Secţiunea a 5-a</w:t>
            </w:r>
          </w:p>
          <w:p w14:paraId="5C3195C3" w14:textId="283B3D77" w:rsidR="008144E5" w:rsidRDefault="004F5179">
            <w:pPr>
              <w:spacing w:after="120"/>
              <w:jc w:val="center"/>
              <w:rPr>
                <w:b/>
              </w:rPr>
            </w:pPr>
            <w:r>
              <w:rPr>
                <w:b/>
              </w:rPr>
              <w:t>Efectele proiectului de act normativ asupra legislaţiei în vigoare</w:t>
            </w:r>
          </w:p>
          <w:p w14:paraId="47AAECEF" w14:textId="77777777" w:rsidR="008A7CA2" w:rsidRDefault="008A7CA2" w:rsidP="00AE66F0">
            <w:pPr>
              <w:spacing w:after="120"/>
              <w:jc w:val="center"/>
              <w:rPr>
                <w:color w:val="4472C4"/>
              </w:rPr>
            </w:pPr>
          </w:p>
        </w:tc>
      </w:tr>
      <w:tr w:rsidR="008A7CA2" w14:paraId="5862BD02" w14:textId="77777777">
        <w:trPr>
          <w:jc w:val="center"/>
        </w:trPr>
        <w:tc>
          <w:tcPr>
            <w:tcW w:w="10490" w:type="dxa"/>
            <w:gridSpan w:val="7"/>
          </w:tcPr>
          <w:p w14:paraId="3D3A880B" w14:textId="77777777" w:rsidR="008A7CA2" w:rsidRDefault="004F5179">
            <w:pPr>
              <w:spacing w:after="240"/>
              <w:rPr>
                <w:b/>
              </w:rPr>
            </w:pPr>
            <w:r>
              <w:rPr>
                <w:b/>
              </w:rPr>
              <w:t>5.1. Măsuri normative necesare pentru aplicarea prevederilor proiectului de act normativ</w:t>
            </w:r>
          </w:p>
          <w:p w14:paraId="0981ECB6" w14:textId="77777777" w:rsidR="008A7CA2" w:rsidRDefault="004F5179">
            <w:r>
              <w:t>Proiectul de act normativ nu se referă la acest subiect.</w:t>
            </w:r>
          </w:p>
        </w:tc>
      </w:tr>
      <w:tr w:rsidR="008A7CA2" w14:paraId="40C48BA5" w14:textId="77777777">
        <w:trPr>
          <w:jc w:val="center"/>
        </w:trPr>
        <w:tc>
          <w:tcPr>
            <w:tcW w:w="10490" w:type="dxa"/>
            <w:gridSpan w:val="7"/>
          </w:tcPr>
          <w:p w14:paraId="5EF9ED16" w14:textId="77777777" w:rsidR="008A7CA2" w:rsidRDefault="004F5179">
            <w:pPr>
              <w:spacing w:after="240"/>
              <w:rPr>
                <w:b/>
              </w:rPr>
            </w:pPr>
            <w:r>
              <w:rPr>
                <w:b/>
              </w:rPr>
              <w:t>5.2. Impactul asupra legislației în domeniul achizițiilor publice</w:t>
            </w:r>
          </w:p>
          <w:p w14:paraId="35094C65" w14:textId="77777777" w:rsidR="008A7CA2" w:rsidRDefault="004F5179">
            <w:r>
              <w:t>Proiectul de act normativ nu se referă la acest subiect.</w:t>
            </w:r>
          </w:p>
        </w:tc>
      </w:tr>
      <w:tr w:rsidR="008A7CA2" w14:paraId="12009362" w14:textId="77777777">
        <w:trPr>
          <w:jc w:val="center"/>
        </w:trPr>
        <w:tc>
          <w:tcPr>
            <w:tcW w:w="10490" w:type="dxa"/>
            <w:gridSpan w:val="7"/>
          </w:tcPr>
          <w:p w14:paraId="4F2E0152" w14:textId="77777777" w:rsidR="008A7CA2" w:rsidRDefault="004F5179">
            <w:pPr>
              <w:spacing w:after="240"/>
              <w:rPr>
                <w:b/>
              </w:rPr>
            </w:pPr>
            <w:r>
              <w:rPr>
                <w:b/>
              </w:rPr>
              <w:t>5.3. Conformitatea proiectului de act normativ cu legislația UE (în cazul proiectelor ce transpun sau asigură aplicarea unor prevederi de drept UE)</w:t>
            </w:r>
          </w:p>
          <w:p w14:paraId="32F59276" w14:textId="77777777" w:rsidR="008A7CA2" w:rsidRDefault="004F5179">
            <w:pPr>
              <w:jc w:val="both"/>
            </w:pPr>
            <w:r>
              <w:t>Proiectul de act normativ nu se referă la acest subiect.</w:t>
            </w:r>
          </w:p>
        </w:tc>
      </w:tr>
      <w:tr w:rsidR="008A7CA2" w14:paraId="27AB52F6" w14:textId="77777777">
        <w:trPr>
          <w:trHeight w:val="616"/>
          <w:jc w:val="center"/>
        </w:trPr>
        <w:tc>
          <w:tcPr>
            <w:tcW w:w="10490" w:type="dxa"/>
            <w:gridSpan w:val="7"/>
          </w:tcPr>
          <w:p w14:paraId="3B22DA43" w14:textId="77777777" w:rsidR="008A7CA2" w:rsidRDefault="004F5179">
            <w:pPr>
              <w:spacing w:after="240"/>
              <w:rPr>
                <w:b/>
              </w:rPr>
            </w:pPr>
            <w:r>
              <w:rPr>
                <w:b/>
              </w:rPr>
              <w:t>5.3.1. Măsuri normative necesare transpunerii directivelor UE</w:t>
            </w:r>
          </w:p>
          <w:p w14:paraId="431C1701" w14:textId="77777777" w:rsidR="008A7CA2" w:rsidRDefault="004F5179">
            <w:pPr>
              <w:jc w:val="both"/>
              <w:rPr>
                <w:color w:val="4472C4"/>
              </w:rPr>
            </w:pPr>
            <w:r>
              <w:t>Proiectul de act normativ nu se referă la acest subiect.</w:t>
            </w:r>
          </w:p>
        </w:tc>
      </w:tr>
      <w:tr w:rsidR="008A7CA2" w14:paraId="2CD82D63" w14:textId="77777777">
        <w:trPr>
          <w:trHeight w:val="540"/>
          <w:jc w:val="center"/>
        </w:trPr>
        <w:tc>
          <w:tcPr>
            <w:tcW w:w="10490" w:type="dxa"/>
            <w:gridSpan w:val="7"/>
          </w:tcPr>
          <w:p w14:paraId="729A79C9" w14:textId="77777777" w:rsidR="008A7CA2" w:rsidRDefault="004F5179">
            <w:pPr>
              <w:spacing w:after="240"/>
              <w:rPr>
                <w:b/>
              </w:rPr>
            </w:pPr>
            <w:r>
              <w:rPr>
                <w:b/>
              </w:rPr>
              <w:t>5.3.2. Măsuri normative necesare aplicării actelor legislative UE</w:t>
            </w:r>
          </w:p>
          <w:p w14:paraId="2B3F0CBB" w14:textId="77777777" w:rsidR="008A7CA2" w:rsidRDefault="004F5179">
            <w:r>
              <w:t>Proiectul de act normativ nu se referă la acest subiect.</w:t>
            </w:r>
          </w:p>
        </w:tc>
      </w:tr>
      <w:tr w:rsidR="008A7CA2" w14:paraId="380EEF9D" w14:textId="77777777">
        <w:trPr>
          <w:jc w:val="center"/>
        </w:trPr>
        <w:tc>
          <w:tcPr>
            <w:tcW w:w="10490" w:type="dxa"/>
            <w:gridSpan w:val="7"/>
          </w:tcPr>
          <w:p w14:paraId="7C52056E" w14:textId="77777777" w:rsidR="008A7CA2" w:rsidRDefault="004F5179">
            <w:pPr>
              <w:spacing w:after="240"/>
              <w:rPr>
                <w:b/>
              </w:rPr>
            </w:pPr>
            <w:r>
              <w:rPr>
                <w:b/>
              </w:rPr>
              <w:t>5.4. Hotărâri ale Curții de Justiție a Uniunii Europene</w:t>
            </w:r>
          </w:p>
          <w:p w14:paraId="71A73E53" w14:textId="77777777" w:rsidR="008A7CA2" w:rsidRDefault="004F5179">
            <w:r>
              <w:t>Proiectul de act normativ nu se referă la acest subiect.</w:t>
            </w:r>
          </w:p>
        </w:tc>
      </w:tr>
      <w:tr w:rsidR="008A7CA2" w14:paraId="35625B05" w14:textId="77777777">
        <w:trPr>
          <w:jc w:val="center"/>
        </w:trPr>
        <w:tc>
          <w:tcPr>
            <w:tcW w:w="10490" w:type="dxa"/>
            <w:gridSpan w:val="7"/>
          </w:tcPr>
          <w:p w14:paraId="300B1E72" w14:textId="77777777" w:rsidR="008A7CA2" w:rsidRDefault="004F5179">
            <w:pPr>
              <w:spacing w:after="240"/>
              <w:rPr>
                <w:b/>
              </w:rPr>
            </w:pPr>
            <w:r>
              <w:rPr>
                <w:b/>
              </w:rPr>
              <w:t>5.5. Alte acte normative și/sau documente internaționale din care decurg angajamente asumate</w:t>
            </w:r>
          </w:p>
          <w:p w14:paraId="359BCF09" w14:textId="77777777" w:rsidR="008A7CA2" w:rsidRDefault="004F5179">
            <w:pPr>
              <w:jc w:val="both"/>
            </w:pPr>
            <w:r>
              <w:t>Proiectul de act normativ nu se referă la acest subiect.</w:t>
            </w:r>
          </w:p>
        </w:tc>
      </w:tr>
      <w:tr w:rsidR="008A7CA2" w14:paraId="51D4BC23" w14:textId="77777777">
        <w:trPr>
          <w:trHeight w:val="239"/>
          <w:jc w:val="center"/>
        </w:trPr>
        <w:tc>
          <w:tcPr>
            <w:tcW w:w="10490" w:type="dxa"/>
            <w:gridSpan w:val="7"/>
          </w:tcPr>
          <w:p w14:paraId="194AA4FD" w14:textId="77777777" w:rsidR="008A7CA2" w:rsidRDefault="004F5179">
            <w:pPr>
              <w:spacing w:after="240"/>
              <w:rPr>
                <w:b/>
              </w:rPr>
            </w:pPr>
            <w:r>
              <w:rPr>
                <w:b/>
              </w:rPr>
              <w:t>5.6. Alte informaţii</w:t>
            </w:r>
          </w:p>
          <w:p w14:paraId="5FA82D0A" w14:textId="77777777" w:rsidR="008A7CA2" w:rsidRDefault="004F5179">
            <w:pPr>
              <w:spacing w:line="276" w:lineRule="auto"/>
            </w:pPr>
            <w:r>
              <w:t>Proiectul de act normativ nu se referă la acest subiect.</w:t>
            </w:r>
          </w:p>
        </w:tc>
      </w:tr>
      <w:tr w:rsidR="008A7CA2" w14:paraId="09F2AA20" w14:textId="77777777">
        <w:trPr>
          <w:jc w:val="center"/>
        </w:trPr>
        <w:tc>
          <w:tcPr>
            <w:tcW w:w="10490" w:type="dxa"/>
            <w:gridSpan w:val="7"/>
          </w:tcPr>
          <w:p w14:paraId="69426CF2" w14:textId="77777777" w:rsidR="008A7CA2" w:rsidRDefault="004F5179">
            <w:pPr>
              <w:spacing w:before="120"/>
              <w:jc w:val="center"/>
              <w:rPr>
                <w:b/>
              </w:rPr>
            </w:pPr>
            <w:r>
              <w:rPr>
                <w:b/>
              </w:rPr>
              <w:t>Secţiunea a 6-a</w:t>
            </w:r>
          </w:p>
          <w:p w14:paraId="345A5EC6" w14:textId="77777777" w:rsidR="008A7CA2" w:rsidRDefault="004F5179">
            <w:pPr>
              <w:spacing w:after="120"/>
              <w:jc w:val="center"/>
            </w:pPr>
            <w:r>
              <w:rPr>
                <w:b/>
              </w:rPr>
              <w:t>Consultările efectuate în vederea elaborării proiectului de act normativ</w:t>
            </w:r>
          </w:p>
        </w:tc>
      </w:tr>
      <w:tr w:rsidR="008A7CA2" w14:paraId="24EC99FD" w14:textId="77777777">
        <w:trPr>
          <w:jc w:val="center"/>
        </w:trPr>
        <w:tc>
          <w:tcPr>
            <w:tcW w:w="10490" w:type="dxa"/>
            <w:gridSpan w:val="7"/>
          </w:tcPr>
          <w:p w14:paraId="3D753915" w14:textId="77777777" w:rsidR="008A7CA2" w:rsidRDefault="004F5179">
            <w:pPr>
              <w:spacing w:after="240"/>
              <w:rPr>
                <w:b/>
              </w:rPr>
            </w:pPr>
            <w:r>
              <w:rPr>
                <w:b/>
              </w:rPr>
              <w:t>6.1. Informații privind neaplicarea procedurii de participare la elaborarea actelor normative</w:t>
            </w:r>
          </w:p>
          <w:p w14:paraId="5EFE90B6" w14:textId="77777777" w:rsidR="008A7CA2" w:rsidRDefault="004F5179">
            <w:pPr>
              <w:spacing w:line="276" w:lineRule="auto"/>
              <w:jc w:val="both"/>
            </w:pPr>
            <w:r>
              <w:t>Proiectul de act normativ nu se referă la acest subiect.</w:t>
            </w:r>
          </w:p>
          <w:p w14:paraId="551BC1F4" w14:textId="6900CE7D" w:rsidR="008144E5" w:rsidRDefault="008144E5">
            <w:pPr>
              <w:spacing w:line="276" w:lineRule="auto"/>
              <w:jc w:val="both"/>
            </w:pPr>
          </w:p>
        </w:tc>
      </w:tr>
      <w:tr w:rsidR="008A7CA2" w14:paraId="75A65B15" w14:textId="77777777">
        <w:trPr>
          <w:jc w:val="center"/>
        </w:trPr>
        <w:tc>
          <w:tcPr>
            <w:tcW w:w="10490" w:type="dxa"/>
            <w:gridSpan w:val="7"/>
          </w:tcPr>
          <w:p w14:paraId="23DC4B6A" w14:textId="77777777" w:rsidR="008A7CA2" w:rsidRDefault="004F5179">
            <w:pPr>
              <w:spacing w:after="240"/>
              <w:rPr>
                <w:b/>
                <w:color w:val="FF0000"/>
              </w:rPr>
            </w:pPr>
            <w:r>
              <w:rPr>
                <w:b/>
              </w:rPr>
              <w:t>6.2. Informații privind procesul de consultare cu organizații neguvernamentale, institute de cercetare și alte organisme implicate</w:t>
            </w:r>
          </w:p>
          <w:p w14:paraId="55BE12B4" w14:textId="77777777" w:rsidR="008A7CA2" w:rsidRDefault="004F5179">
            <w:pPr>
              <w:spacing w:line="276" w:lineRule="auto"/>
              <w:jc w:val="both"/>
            </w:pPr>
            <w:r>
              <w:t>Proiectul de act normativ nu se referă la acest subiect.</w:t>
            </w:r>
          </w:p>
          <w:p w14:paraId="5545E671" w14:textId="47AD12FB" w:rsidR="008144E5" w:rsidRDefault="008144E5">
            <w:pPr>
              <w:spacing w:line="276" w:lineRule="auto"/>
              <w:jc w:val="both"/>
            </w:pPr>
          </w:p>
        </w:tc>
      </w:tr>
      <w:tr w:rsidR="008A7CA2" w14:paraId="1CF25927" w14:textId="77777777">
        <w:trPr>
          <w:trHeight w:val="556"/>
          <w:jc w:val="center"/>
        </w:trPr>
        <w:tc>
          <w:tcPr>
            <w:tcW w:w="10490" w:type="dxa"/>
            <w:gridSpan w:val="7"/>
          </w:tcPr>
          <w:p w14:paraId="0A013343" w14:textId="77777777" w:rsidR="008A7CA2" w:rsidRDefault="004F5179">
            <w:pPr>
              <w:spacing w:after="240"/>
              <w:rPr>
                <w:b/>
              </w:rPr>
            </w:pPr>
            <w:r>
              <w:rPr>
                <w:b/>
              </w:rPr>
              <w:t>6.3. Informații despre consultările organizate cu autoritățile administrației publice locale</w:t>
            </w:r>
          </w:p>
          <w:p w14:paraId="3EA6F7F1" w14:textId="03B1C172" w:rsidR="008A7CA2" w:rsidRDefault="004F5179">
            <w:r>
              <w:lastRenderedPageBreak/>
              <w:t>Proiectul de act normativ nu se referă la acest subiect.</w:t>
            </w:r>
          </w:p>
          <w:p w14:paraId="6B1843EA" w14:textId="4D15212F" w:rsidR="008144E5" w:rsidRDefault="008144E5"/>
        </w:tc>
      </w:tr>
      <w:tr w:rsidR="008A7CA2" w14:paraId="6DF93D8A" w14:textId="77777777">
        <w:trPr>
          <w:jc w:val="center"/>
        </w:trPr>
        <w:tc>
          <w:tcPr>
            <w:tcW w:w="10490" w:type="dxa"/>
            <w:gridSpan w:val="7"/>
          </w:tcPr>
          <w:p w14:paraId="1852EB70" w14:textId="77777777" w:rsidR="008A7CA2" w:rsidRDefault="004F5179">
            <w:pPr>
              <w:spacing w:after="240"/>
              <w:jc w:val="both"/>
              <w:rPr>
                <w:b/>
              </w:rPr>
            </w:pPr>
            <w:r>
              <w:rPr>
                <w:b/>
              </w:rPr>
              <w:lastRenderedPageBreak/>
              <w:t>6.4. Informații privind puncte de vedere/opinii emise de organisme consultative constituite prin acte normative</w:t>
            </w:r>
          </w:p>
          <w:p w14:paraId="401ED8FE" w14:textId="77777777" w:rsidR="008A7CA2" w:rsidRDefault="004F5179">
            <w:pPr>
              <w:jc w:val="both"/>
            </w:pPr>
            <w:r>
              <w:t>Proiectul de act normativ a fost elaborat în consultare cu Autoritatea Națională de Reglementare în domeniul Energiei (ANRE).</w:t>
            </w:r>
          </w:p>
          <w:p w14:paraId="7A774FAD" w14:textId="77777777" w:rsidR="008A7CA2" w:rsidRDefault="004F5179">
            <w:pPr>
              <w:jc w:val="both"/>
            </w:pPr>
            <w:r>
              <w:t>Proiectul se transmite Directoratului Naționale de Securitate Cibernetică  și Adminsitrația Națioanlă ”Apele Române” pentru formularea unor puncte de vedere.</w:t>
            </w:r>
          </w:p>
          <w:p w14:paraId="7D9105F6" w14:textId="77777777" w:rsidR="008A7CA2" w:rsidRDefault="004F5179">
            <w:pPr>
              <w:jc w:val="both"/>
            </w:pPr>
            <w:r>
              <w:t>Se solicită avizul de oportunitate al Departamentului pentru Relația cu Parlamentul.</w:t>
            </w:r>
          </w:p>
          <w:p w14:paraId="4E38A405" w14:textId="782D5133" w:rsidR="008144E5" w:rsidRDefault="008144E5">
            <w:pPr>
              <w:jc w:val="both"/>
            </w:pPr>
          </w:p>
        </w:tc>
      </w:tr>
      <w:tr w:rsidR="008A7CA2" w14:paraId="70F9CD22" w14:textId="77777777">
        <w:trPr>
          <w:jc w:val="center"/>
        </w:trPr>
        <w:tc>
          <w:tcPr>
            <w:tcW w:w="10490" w:type="dxa"/>
            <w:gridSpan w:val="7"/>
          </w:tcPr>
          <w:p w14:paraId="0DBABC4A" w14:textId="77777777" w:rsidR="008A7CA2" w:rsidRDefault="004F5179">
            <w:pPr>
              <w:spacing w:after="240" w:line="276" w:lineRule="auto"/>
              <w:rPr>
                <w:b/>
              </w:rPr>
            </w:pPr>
            <w:r>
              <w:rPr>
                <w:b/>
              </w:rPr>
              <w:t>6.5. Informații privind avizarea de către:</w:t>
            </w:r>
          </w:p>
          <w:p w14:paraId="4FD61EC0" w14:textId="77777777" w:rsidR="008A7CA2" w:rsidRDefault="004F5179">
            <w:pPr>
              <w:spacing w:line="276" w:lineRule="auto"/>
              <w:jc w:val="both"/>
            </w:pPr>
            <w:r>
              <w:t>a) Consiliul Legislativ - proiectul de act normativ se supune avizării Consiliul Legislativ de către Secretariatul General al Guvernului;</w:t>
            </w:r>
          </w:p>
          <w:p w14:paraId="64668A9B" w14:textId="77777777" w:rsidR="008A7CA2" w:rsidRDefault="004F5179">
            <w:pPr>
              <w:spacing w:line="276" w:lineRule="auto"/>
            </w:pPr>
            <w:r>
              <w:t>b) Consiliul Economic și Social - proiectul se supune avizării Consiliul Economic și Social;</w:t>
            </w:r>
          </w:p>
          <w:p w14:paraId="4CE05ADD" w14:textId="77777777" w:rsidR="008A7CA2" w:rsidRDefault="004F5179">
            <w:pPr>
              <w:spacing w:line="276" w:lineRule="auto"/>
            </w:pPr>
            <w:r>
              <w:t>c) Consiliul Concurenței –  se solicită avizul acestei instituții.</w:t>
            </w:r>
          </w:p>
          <w:p w14:paraId="00D22A8F" w14:textId="77777777" w:rsidR="008A7CA2" w:rsidRDefault="004F5179">
            <w:pPr>
              <w:spacing w:line="276" w:lineRule="auto"/>
            </w:pPr>
            <w:r>
              <w:t>d) Se solicită avizul Consiliului Suprem de Apărare a Țării</w:t>
            </w:r>
          </w:p>
          <w:p w14:paraId="560AA21B" w14:textId="0A9492D8" w:rsidR="008144E5" w:rsidRDefault="008144E5">
            <w:pPr>
              <w:spacing w:line="276" w:lineRule="auto"/>
            </w:pPr>
          </w:p>
        </w:tc>
      </w:tr>
      <w:tr w:rsidR="008A7CA2" w14:paraId="3847CE15" w14:textId="77777777">
        <w:trPr>
          <w:jc w:val="center"/>
        </w:trPr>
        <w:tc>
          <w:tcPr>
            <w:tcW w:w="10490" w:type="dxa"/>
            <w:gridSpan w:val="7"/>
          </w:tcPr>
          <w:p w14:paraId="3A3F7DB3" w14:textId="77777777" w:rsidR="008A7CA2" w:rsidRDefault="004F5179">
            <w:pPr>
              <w:spacing w:after="240"/>
              <w:rPr>
                <w:b/>
              </w:rPr>
            </w:pPr>
            <w:r>
              <w:rPr>
                <w:b/>
              </w:rPr>
              <w:t>6.6. Alte informaţii</w:t>
            </w:r>
          </w:p>
          <w:p w14:paraId="0D3FA358" w14:textId="77777777" w:rsidR="008A7CA2" w:rsidRDefault="004F5179">
            <w:r>
              <w:t>Proiectul de act normativ nu se referă la acest subiect.</w:t>
            </w:r>
          </w:p>
          <w:p w14:paraId="30C608AE" w14:textId="4E3974B8" w:rsidR="008144E5" w:rsidRDefault="008144E5">
            <w:pPr>
              <w:rPr>
                <w:color w:val="4472C4"/>
              </w:rPr>
            </w:pPr>
          </w:p>
        </w:tc>
      </w:tr>
      <w:tr w:rsidR="008A7CA2" w14:paraId="11046A00" w14:textId="77777777">
        <w:trPr>
          <w:trHeight w:val="622"/>
          <w:jc w:val="center"/>
        </w:trPr>
        <w:tc>
          <w:tcPr>
            <w:tcW w:w="10490" w:type="dxa"/>
            <w:gridSpan w:val="7"/>
          </w:tcPr>
          <w:p w14:paraId="35B9D16C" w14:textId="77777777" w:rsidR="008A7CA2" w:rsidRDefault="004F5179">
            <w:pPr>
              <w:spacing w:before="120"/>
              <w:jc w:val="center"/>
              <w:rPr>
                <w:b/>
              </w:rPr>
            </w:pPr>
            <w:r>
              <w:rPr>
                <w:b/>
              </w:rPr>
              <w:t>Secţiunea a 7-a</w:t>
            </w:r>
          </w:p>
          <w:p w14:paraId="6EE8CA99" w14:textId="77777777" w:rsidR="008A7CA2" w:rsidRDefault="004F5179">
            <w:pPr>
              <w:spacing w:after="120"/>
              <w:jc w:val="center"/>
              <w:rPr>
                <w:b/>
              </w:rPr>
            </w:pPr>
            <w:r>
              <w:rPr>
                <w:b/>
              </w:rPr>
              <w:t>Activităţi de informare publică privind elaborarea şi implementarea proiectului de act normativ</w:t>
            </w:r>
          </w:p>
          <w:p w14:paraId="34A3F540" w14:textId="2EAAF0E8" w:rsidR="008144E5" w:rsidRDefault="008144E5">
            <w:pPr>
              <w:spacing w:after="120"/>
              <w:jc w:val="center"/>
            </w:pPr>
          </w:p>
        </w:tc>
      </w:tr>
      <w:tr w:rsidR="008A7CA2" w14:paraId="7964B87E" w14:textId="77777777">
        <w:trPr>
          <w:trHeight w:val="833"/>
          <w:jc w:val="center"/>
        </w:trPr>
        <w:tc>
          <w:tcPr>
            <w:tcW w:w="10490" w:type="dxa"/>
            <w:gridSpan w:val="7"/>
          </w:tcPr>
          <w:p w14:paraId="71633BFE" w14:textId="77777777" w:rsidR="008A7CA2" w:rsidRDefault="004F5179">
            <w:pPr>
              <w:spacing w:after="240"/>
              <w:rPr>
                <w:b/>
              </w:rPr>
            </w:pPr>
            <w:r>
              <w:rPr>
                <w:b/>
              </w:rPr>
              <w:t>7.1. Informarea societăţii civile cu privire la elaborarea proiectului de act normativ</w:t>
            </w:r>
          </w:p>
          <w:p w14:paraId="07016FBF" w14:textId="77777777" w:rsidR="008A7CA2" w:rsidRDefault="004F5179">
            <w:pPr>
              <w:jc w:val="both"/>
            </w:pPr>
            <w:r>
              <w:t>În procesul de elaborare a proiectului de act normativ au fost îndeplinite procedurile de transparentă instituite prin Legea nr. 52/2003 privind transparenţa decizională în administraţia publică, republicată, cu modificările ulterioare.</w:t>
            </w:r>
          </w:p>
          <w:p w14:paraId="36CB4F72" w14:textId="77777777" w:rsidR="008A7CA2" w:rsidRDefault="004F5179">
            <w:pPr>
              <w:jc w:val="both"/>
            </w:pPr>
            <w:r>
              <w:t>Proiectul de act normativ a fost publicat pe site-ul Ministerului Energiei în data de</w:t>
            </w:r>
          </w:p>
          <w:p w14:paraId="5D289839" w14:textId="1423A706" w:rsidR="008144E5" w:rsidRDefault="008144E5">
            <w:pPr>
              <w:jc w:val="both"/>
              <w:rPr>
                <w:color w:val="FF0000"/>
                <w:sz w:val="22"/>
                <w:szCs w:val="22"/>
              </w:rPr>
            </w:pPr>
          </w:p>
        </w:tc>
      </w:tr>
      <w:tr w:rsidR="008A7CA2" w14:paraId="350965D7" w14:textId="77777777">
        <w:trPr>
          <w:jc w:val="center"/>
        </w:trPr>
        <w:tc>
          <w:tcPr>
            <w:tcW w:w="10490" w:type="dxa"/>
            <w:gridSpan w:val="7"/>
          </w:tcPr>
          <w:p w14:paraId="2806A84B" w14:textId="76AEB07B" w:rsidR="008A7CA2" w:rsidRDefault="004F5179" w:rsidP="00AE66F0">
            <w:pPr>
              <w:rPr>
                <w:b/>
              </w:rPr>
            </w:pPr>
            <w:r>
              <w:rPr>
                <w:b/>
              </w:rPr>
              <w:t>7.2. Informarea societăţii civile cu privire la eventualul impact asupra mediului în urma implementării proiectului de act normativ, precum şi efectele asupra sănătăţii şi securităţii cetăţenilor sau diversităţii biologice</w:t>
            </w:r>
          </w:p>
          <w:p w14:paraId="26B558AB" w14:textId="77777777" w:rsidR="008144E5" w:rsidRDefault="008144E5" w:rsidP="00814206">
            <w:pPr>
              <w:rPr>
                <w:b/>
              </w:rPr>
            </w:pPr>
          </w:p>
          <w:p w14:paraId="22731C17" w14:textId="77777777" w:rsidR="008A7CA2" w:rsidRDefault="004F5179" w:rsidP="00AE66F0">
            <w:pPr>
              <w:spacing w:line="360" w:lineRule="auto"/>
            </w:pPr>
            <w:r>
              <w:t>Proiectul de act normativ nu se referă la acest subiect.</w:t>
            </w:r>
          </w:p>
        </w:tc>
      </w:tr>
      <w:tr w:rsidR="008A7CA2" w14:paraId="0670E2E7" w14:textId="77777777">
        <w:trPr>
          <w:trHeight w:val="417"/>
          <w:jc w:val="center"/>
        </w:trPr>
        <w:tc>
          <w:tcPr>
            <w:tcW w:w="10490" w:type="dxa"/>
            <w:gridSpan w:val="7"/>
          </w:tcPr>
          <w:p w14:paraId="4494A785" w14:textId="77777777" w:rsidR="008A7CA2" w:rsidRDefault="004F5179">
            <w:pPr>
              <w:spacing w:before="120" w:line="276" w:lineRule="auto"/>
              <w:jc w:val="center"/>
              <w:rPr>
                <w:b/>
              </w:rPr>
            </w:pPr>
            <w:r>
              <w:rPr>
                <w:b/>
              </w:rPr>
              <w:t>Secţiunea a 8-a</w:t>
            </w:r>
          </w:p>
          <w:p w14:paraId="30431A61" w14:textId="77777777" w:rsidR="008A7CA2" w:rsidRDefault="004F5179">
            <w:pPr>
              <w:spacing w:line="360" w:lineRule="auto"/>
              <w:jc w:val="center"/>
              <w:rPr>
                <w:b/>
              </w:rPr>
            </w:pPr>
            <w:r>
              <w:rPr>
                <w:b/>
              </w:rPr>
              <w:t>Măsuri privind implementarea, monitorizarea și evaluarea proiectului de act normativ</w:t>
            </w:r>
          </w:p>
          <w:p w14:paraId="15EB7EEC" w14:textId="038213ED" w:rsidR="008144E5" w:rsidRDefault="008144E5">
            <w:pPr>
              <w:spacing w:line="360" w:lineRule="auto"/>
              <w:jc w:val="center"/>
              <w:rPr>
                <w:color w:val="4472C4"/>
              </w:rPr>
            </w:pPr>
          </w:p>
        </w:tc>
      </w:tr>
      <w:tr w:rsidR="008A7CA2" w14:paraId="0A867F4A" w14:textId="77777777">
        <w:trPr>
          <w:jc w:val="center"/>
        </w:trPr>
        <w:tc>
          <w:tcPr>
            <w:tcW w:w="10490" w:type="dxa"/>
            <w:gridSpan w:val="7"/>
          </w:tcPr>
          <w:p w14:paraId="33BD701E" w14:textId="77777777" w:rsidR="008A7CA2" w:rsidRDefault="004F5179">
            <w:pPr>
              <w:spacing w:after="240"/>
              <w:rPr>
                <w:b/>
              </w:rPr>
            </w:pPr>
            <w:r>
              <w:rPr>
                <w:b/>
              </w:rPr>
              <w:t xml:space="preserve">8.1. Măsurile de punere în aplicare a proiectului de act normativ </w:t>
            </w:r>
          </w:p>
          <w:p w14:paraId="0582EB38" w14:textId="77777777" w:rsidR="008A7CA2" w:rsidRDefault="004F5179">
            <w:pPr>
              <w:spacing w:line="276" w:lineRule="auto"/>
              <w:jc w:val="both"/>
            </w:pPr>
            <w:r>
              <w:t>Proiectul de act normativ nu se referă la acest subiect.</w:t>
            </w:r>
          </w:p>
        </w:tc>
      </w:tr>
      <w:tr w:rsidR="008A7CA2" w14:paraId="5367049D" w14:textId="77777777">
        <w:trPr>
          <w:jc w:val="center"/>
        </w:trPr>
        <w:tc>
          <w:tcPr>
            <w:tcW w:w="10490" w:type="dxa"/>
            <w:gridSpan w:val="7"/>
          </w:tcPr>
          <w:p w14:paraId="64CDF958" w14:textId="77777777" w:rsidR="008A7CA2" w:rsidRDefault="004F5179" w:rsidP="00814206">
            <w:pPr>
              <w:spacing w:after="120"/>
              <w:rPr>
                <w:b/>
              </w:rPr>
            </w:pPr>
            <w:r>
              <w:rPr>
                <w:b/>
              </w:rPr>
              <w:t>8.2. Alte informaţii</w:t>
            </w:r>
          </w:p>
          <w:p w14:paraId="4CE39F67" w14:textId="77777777" w:rsidR="008A7CA2" w:rsidRDefault="004F5179" w:rsidP="00814206">
            <w:pPr>
              <w:spacing w:after="120"/>
            </w:pPr>
            <w:r>
              <w:t>Proiectul de act normativ nu se referă la acest subiect.</w:t>
            </w:r>
          </w:p>
        </w:tc>
      </w:tr>
    </w:tbl>
    <w:p w14:paraId="24F86B7E" w14:textId="19B4568D" w:rsidR="008144E5" w:rsidRDefault="008144E5">
      <w:pPr>
        <w:pBdr>
          <w:top w:val="nil"/>
          <w:left w:val="nil"/>
          <w:bottom w:val="nil"/>
          <w:right w:val="nil"/>
          <w:between w:val="nil"/>
        </w:pBdr>
        <w:spacing w:line="276" w:lineRule="auto"/>
        <w:ind w:left="-567" w:right="-568"/>
        <w:jc w:val="both"/>
        <w:rPr>
          <w:sz w:val="16"/>
          <w:szCs w:val="16"/>
        </w:rPr>
      </w:pPr>
    </w:p>
    <w:p w14:paraId="36692D99" w14:textId="77777777" w:rsidR="008144E5" w:rsidRDefault="008144E5">
      <w:pPr>
        <w:pBdr>
          <w:top w:val="nil"/>
          <w:left w:val="nil"/>
          <w:bottom w:val="nil"/>
          <w:right w:val="nil"/>
          <w:between w:val="nil"/>
        </w:pBdr>
        <w:spacing w:line="276" w:lineRule="auto"/>
        <w:ind w:left="-567" w:right="-568"/>
        <w:jc w:val="both"/>
        <w:rPr>
          <w:sz w:val="16"/>
          <w:szCs w:val="16"/>
        </w:rPr>
      </w:pPr>
    </w:p>
    <w:p w14:paraId="37B13D64" w14:textId="77777777" w:rsidR="008144E5" w:rsidRDefault="008144E5">
      <w:pPr>
        <w:rPr>
          <w:sz w:val="16"/>
          <w:szCs w:val="16"/>
        </w:rPr>
      </w:pPr>
    </w:p>
    <w:p w14:paraId="64F9B5D8" w14:textId="7E720C04" w:rsidR="008A7CA2" w:rsidRDefault="004F5179">
      <w:pPr>
        <w:pBdr>
          <w:top w:val="nil"/>
          <w:left w:val="nil"/>
          <w:bottom w:val="nil"/>
          <w:right w:val="nil"/>
          <w:between w:val="nil"/>
        </w:pBdr>
        <w:spacing w:line="276" w:lineRule="auto"/>
        <w:ind w:left="-567" w:right="-568"/>
        <w:jc w:val="both"/>
        <w:rPr>
          <w:color w:val="000000"/>
        </w:rPr>
      </w:pPr>
      <w:bookmarkStart w:id="2" w:name="_heading=h.1fob9te" w:colFirst="0" w:colLast="0"/>
      <w:bookmarkEnd w:id="2"/>
      <w:r>
        <w:rPr>
          <w:color w:val="000000"/>
        </w:rPr>
        <w:t>Faţă de cele prezentate mai sus, în temeiul art.115 alin.(4) din Constituția României, republicată, s-a elaborat alăturatul proiect de Ordonanță de urgență pentru modificarea şi completarea Legii energiei electrice şi a gazelor naturale nr.123/2012, precum și pentru modificarea și completarea Legii nr.220/2008 privind stabilirea sistemului de promovare a producerii energiei din surse regenerabile, pe care, dacă sunteți de acord, vă rugăm să îl aprobați.</w:t>
      </w:r>
    </w:p>
    <w:p w14:paraId="5AC21435" w14:textId="77777777" w:rsidR="008A7CA2" w:rsidRDefault="004F5179">
      <w:pPr>
        <w:pBdr>
          <w:top w:val="nil"/>
          <w:left w:val="nil"/>
          <w:bottom w:val="nil"/>
          <w:right w:val="nil"/>
          <w:between w:val="nil"/>
        </w:pBdr>
        <w:spacing w:line="276" w:lineRule="auto"/>
        <w:ind w:left="-567" w:right="-568"/>
        <w:jc w:val="center"/>
        <w:rPr>
          <w:b/>
          <w:color w:val="000000"/>
        </w:rPr>
      </w:pPr>
      <w:r>
        <w:rPr>
          <w:b/>
          <w:color w:val="000000"/>
        </w:rPr>
        <w:t>MINISTRUL ENERGIEI</w:t>
      </w:r>
    </w:p>
    <w:p w14:paraId="628E0EF1" w14:textId="77777777" w:rsidR="008A7CA2" w:rsidRDefault="008A7CA2">
      <w:pPr>
        <w:pBdr>
          <w:top w:val="nil"/>
          <w:left w:val="nil"/>
          <w:bottom w:val="nil"/>
          <w:right w:val="nil"/>
          <w:between w:val="nil"/>
        </w:pBdr>
        <w:spacing w:line="276" w:lineRule="auto"/>
        <w:ind w:left="-567" w:right="-568"/>
        <w:jc w:val="center"/>
        <w:rPr>
          <w:b/>
          <w:color w:val="000000"/>
        </w:rPr>
      </w:pPr>
    </w:p>
    <w:p w14:paraId="76DE4AEF" w14:textId="128E7990" w:rsidR="008A7CA2" w:rsidRPr="00823124" w:rsidRDefault="004F5179" w:rsidP="00823124">
      <w:pPr>
        <w:pBdr>
          <w:top w:val="nil"/>
          <w:left w:val="nil"/>
          <w:bottom w:val="nil"/>
          <w:right w:val="nil"/>
          <w:between w:val="nil"/>
        </w:pBdr>
        <w:spacing w:line="276" w:lineRule="auto"/>
        <w:ind w:left="-567" w:right="-568"/>
        <w:jc w:val="center"/>
        <w:rPr>
          <w:b/>
          <w:color w:val="000000"/>
        </w:rPr>
      </w:pPr>
      <w:r>
        <w:rPr>
          <w:b/>
          <w:color w:val="000000"/>
        </w:rPr>
        <w:t>Sebastian – Ioan BURDUJA</w:t>
      </w:r>
    </w:p>
    <w:sectPr w:rsidR="008A7CA2" w:rsidRPr="00823124" w:rsidSect="00814206">
      <w:headerReference w:type="even" r:id="rId10"/>
      <w:headerReference w:type="default" r:id="rId11"/>
      <w:footerReference w:type="even" r:id="rId12"/>
      <w:footerReference w:type="default" r:id="rId13"/>
      <w:headerReference w:type="first" r:id="rId14"/>
      <w:footerReference w:type="first" r:id="rId15"/>
      <w:pgSz w:w="11906" w:h="16838"/>
      <w:pgMar w:top="1418" w:right="1017" w:bottom="1134" w:left="1418" w:header="284"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F70BC" w14:textId="77777777" w:rsidR="001152EE" w:rsidRDefault="001152EE">
      <w:r>
        <w:separator/>
      </w:r>
    </w:p>
  </w:endnote>
  <w:endnote w:type="continuationSeparator" w:id="0">
    <w:p w14:paraId="54ACBFA5" w14:textId="77777777" w:rsidR="001152EE" w:rsidRDefault="0011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2419C" w14:textId="77777777" w:rsidR="008A7CA2" w:rsidRDefault="008A7CA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BC229" w14:textId="77777777" w:rsidR="008A7CA2" w:rsidRDefault="008A7CA2">
    <w:pPr>
      <w:pBdr>
        <w:top w:val="nil"/>
        <w:left w:val="nil"/>
        <w:bottom w:val="nil"/>
        <w:right w:val="nil"/>
        <w:between w:val="nil"/>
      </w:pBdr>
      <w:tabs>
        <w:tab w:val="center" w:pos="4680"/>
        <w:tab w:val="right" w:pos="9360"/>
      </w:tabs>
      <w:jc w:val="right"/>
      <w:rPr>
        <w:color w:val="000000"/>
        <w:sz w:val="18"/>
        <w:szCs w:val="18"/>
      </w:rPr>
    </w:pPr>
  </w:p>
  <w:p w14:paraId="32A48672" w14:textId="77777777" w:rsidR="008A7CA2" w:rsidRDefault="004F5179">
    <w:pPr>
      <w:pBdr>
        <w:top w:val="nil"/>
        <w:left w:val="nil"/>
        <w:bottom w:val="nil"/>
        <w:right w:val="nil"/>
        <w:between w:val="nil"/>
      </w:pBdr>
      <w:tabs>
        <w:tab w:val="center" w:pos="4680"/>
        <w:tab w:val="right" w:pos="9360"/>
      </w:tabs>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EB6E43">
      <w:rPr>
        <w:b/>
        <w:color w:val="000000"/>
        <w:sz w:val="18"/>
        <w:szCs w:val="18"/>
      </w:rPr>
      <w:t>1</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EB6E43">
      <w:rPr>
        <w:b/>
        <w:color w:val="000000"/>
        <w:sz w:val="18"/>
        <w:szCs w:val="18"/>
      </w:rPr>
      <w:t>2</w:t>
    </w:r>
    <w:r>
      <w:rPr>
        <w:b/>
        <w:color w:val="000000"/>
        <w:sz w:val="18"/>
        <w:szCs w:val="18"/>
      </w:rPr>
      <w:fldChar w:fldCharType="end"/>
    </w:r>
  </w:p>
  <w:p w14:paraId="6CC69E4D" w14:textId="77777777" w:rsidR="008A7CA2" w:rsidRDefault="008A7CA2">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9EEF" w14:textId="77777777" w:rsidR="008A7CA2" w:rsidRDefault="008A7CA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5E64E" w14:textId="77777777" w:rsidR="001152EE" w:rsidRDefault="001152EE">
      <w:r>
        <w:separator/>
      </w:r>
    </w:p>
  </w:footnote>
  <w:footnote w:type="continuationSeparator" w:id="0">
    <w:p w14:paraId="0CD5A54F" w14:textId="77777777" w:rsidR="001152EE" w:rsidRDefault="00115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CA002" w14:textId="77777777" w:rsidR="008A7CA2" w:rsidRDefault="008A7CA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1D1F1" w14:textId="77777777" w:rsidR="008A7CA2" w:rsidRDefault="008A7CA2">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7CC62" w14:textId="77777777" w:rsidR="008A7CA2" w:rsidRDefault="008A7CA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05AC6"/>
    <w:multiLevelType w:val="multilevel"/>
    <w:tmpl w:val="7516380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D658CB"/>
    <w:multiLevelType w:val="multilevel"/>
    <w:tmpl w:val="76609AA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E82C90"/>
    <w:multiLevelType w:val="multilevel"/>
    <w:tmpl w:val="998056B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1E6A82"/>
    <w:multiLevelType w:val="multilevel"/>
    <w:tmpl w:val="BB38F9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F24F33"/>
    <w:multiLevelType w:val="multilevel"/>
    <w:tmpl w:val="3C32B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4A74D6"/>
    <w:multiLevelType w:val="multilevel"/>
    <w:tmpl w:val="3142FE8A"/>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A1002FD"/>
    <w:multiLevelType w:val="multilevel"/>
    <w:tmpl w:val="85327778"/>
    <w:lvl w:ilvl="0">
      <w:start w:val="1"/>
      <w:numFmt w:val="lowerRoman"/>
      <w:lvlText w:val="(%1)"/>
      <w:lvlJc w:val="left"/>
      <w:pPr>
        <w:ind w:left="1080" w:hanging="720"/>
      </w:pPr>
    </w:lvl>
    <w:lvl w:ilvl="1">
      <w:start w:val="2"/>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A636DE9"/>
    <w:multiLevelType w:val="multilevel"/>
    <w:tmpl w:val="8E9EB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3925EFF"/>
    <w:multiLevelType w:val="multilevel"/>
    <w:tmpl w:val="4BBAA4EC"/>
    <w:lvl w:ilvl="0">
      <w:start w:val="1"/>
      <w:numFmt w:val="lowerLetter"/>
      <w:lvlText w:val="%1)"/>
      <w:lvlJc w:val="left"/>
      <w:pPr>
        <w:ind w:left="360" w:hanging="360"/>
      </w:p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9" w15:restartNumberingAfterBreak="0">
    <w:nsid w:val="568030F7"/>
    <w:multiLevelType w:val="multilevel"/>
    <w:tmpl w:val="759A2B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E1423B"/>
    <w:multiLevelType w:val="multilevel"/>
    <w:tmpl w:val="2A7669AC"/>
    <w:lvl w:ilvl="0">
      <w:start w:val="1"/>
      <w:numFmt w:val="lowerRoman"/>
      <w:lvlText w:val="(%1)"/>
      <w:lvlJc w:val="left"/>
      <w:pPr>
        <w:ind w:left="1080" w:hanging="720"/>
      </w:pPr>
    </w:lvl>
    <w:lvl w:ilvl="1">
      <w:start w:val="3"/>
      <w:numFmt w:val="lowerLetter"/>
      <w:lvlText w:val="%2)"/>
      <w:lvlJc w:val="left"/>
      <w:pPr>
        <w:ind w:left="1800" w:hanging="360"/>
      </w:pPr>
    </w:lvl>
    <w:lvl w:ilvl="2">
      <w:start w:val="1"/>
      <w:numFmt w:val="lowerRoman"/>
      <w:lvlText w:val="(%3)"/>
      <w:lvlJc w:val="left"/>
      <w:pPr>
        <w:ind w:left="3060" w:hanging="720"/>
      </w:pPr>
    </w:lvl>
    <w:lvl w:ilvl="3">
      <w:start w:val="5"/>
      <w:numFmt w:val="bullet"/>
      <w:lvlText w:val="-"/>
      <w:lvlJc w:val="left"/>
      <w:pPr>
        <w:ind w:left="3240" w:hanging="360"/>
      </w:pPr>
      <w:rPr>
        <w:rFonts w:ascii="Times New Roman" w:eastAsia="Times New Roman"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B700146"/>
    <w:multiLevelType w:val="multilevel"/>
    <w:tmpl w:val="36BE5DA2"/>
    <w:lvl w:ilvl="0">
      <w:start w:val="1"/>
      <w:numFmt w:val="lowerRoman"/>
      <w:lvlText w:val="(%1)"/>
      <w:lvlJc w:val="left"/>
      <w:pPr>
        <w:ind w:left="306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676B37"/>
    <w:multiLevelType w:val="multilevel"/>
    <w:tmpl w:val="B2B43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CCE472C"/>
    <w:multiLevelType w:val="multilevel"/>
    <w:tmpl w:val="3636FE8C"/>
    <w:lvl w:ilvl="0">
      <w:start w:val="4"/>
      <w:numFmt w:val="decimal"/>
      <w:lvlText w:val="%1."/>
      <w:lvlJc w:val="left"/>
      <w:pPr>
        <w:ind w:left="360" w:hanging="360"/>
      </w:pPr>
      <w:rPr>
        <w:b w:val="0"/>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num w:numId="1" w16cid:durableId="217978639">
    <w:abstractNumId w:val="0"/>
  </w:num>
  <w:num w:numId="2" w16cid:durableId="351152163">
    <w:abstractNumId w:val="2"/>
  </w:num>
  <w:num w:numId="3" w16cid:durableId="794058153">
    <w:abstractNumId w:val="4"/>
  </w:num>
  <w:num w:numId="4" w16cid:durableId="23137966">
    <w:abstractNumId w:val="7"/>
  </w:num>
  <w:num w:numId="5" w16cid:durableId="788553643">
    <w:abstractNumId w:val="11"/>
  </w:num>
  <w:num w:numId="6" w16cid:durableId="603927705">
    <w:abstractNumId w:val="13"/>
  </w:num>
  <w:num w:numId="7" w16cid:durableId="417530442">
    <w:abstractNumId w:val="1"/>
  </w:num>
  <w:num w:numId="8" w16cid:durableId="693502182">
    <w:abstractNumId w:val="6"/>
  </w:num>
  <w:num w:numId="9" w16cid:durableId="156773191">
    <w:abstractNumId w:val="5"/>
  </w:num>
  <w:num w:numId="10" w16cid:durableId="751392222">
    <w:abstractNumId w:val="3"/>
  </w:num>
  <w:num w:numId="11" w16cid:durableId="722949315">
    <w:abstractNumId w:val="10"/>
  </w:num>
  <w:num w:numId="12" w16cid:durableId="329646643">
    <w:abstractNumId w:val="8"/>
  </w:num>
  <w:num w:numId="13" w16cid:durableId="1594774468">
    <w:abstractNumId w:val="9"/>
  </w:num>
  <w:num w:numId="14" w16cid:durableId="7547425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A2"/>
    <w:rsid w:val="001152EE"/>
    <w:rsid w:val="001C1525"/>
    <w:rsid w:val="002452C1"/>
    <w:rsid w:val="002C450F"/>
    <w:rsid w:val="00310F44"/>
    <w:rsid w:val="004F5179"/>
    <w:rsid w:val="00553EC6"/>
    <w:rsid w:val="0072760D"/>
    <w:rsid w:val="00814206"/>
    <w:rsid w:val="008144E5"/>
    <w:rsid w:val="00823124"/>
    <w:rsid w:val="008A7CA2"/>
    <w:rsid w:val="00AE66F0"/>
    <w:rsid w:val="00EB6E43"/>
    <w:rsid w:val="00F02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8A9B"/>
  <w15:docId w15:val="{A0EB6D24-D9C8-42E8-A9A1-83DDDEE8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2DA"/>
    <w:rPr>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FC344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903B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C2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757A"/>
    <w:rPr>
      <w:sz w:val="16"/>
      <w:szCs w:val="16"/>
    </w:rPr>
  </w:style>
  <w:style w:type="paragraph" w:styleId="CommentText">
    <w:name w:val="annotation text"/>
    <w:basedOn w:val="Normal"/>
    <w:link w:val="CommentTextChar"/>
    <w:uiPriority w:val="99"/>
    <w:unhideWhenUsed/>
    <w:rsid w:val="0034757A"/>
    <w:rPr>
      <w:sz w:val="20"/>
      <w:szCs w:val="20"/>
    </w:rPr>
  </w:style>
  <w:style w:type="character" w:customStyle="1" w:styleId="CommentTextChar">
    <w:name w:val="Comment Text Char"/>
    <w:basedOn w:val="DefaultParagraphFont"/>
    <w:link w:val="CommentText"/>
    <w:uiPriority w:val="99"/>
    <w:rsid w:val="0034757A"/>
    <w:rPr>
      <w:rFonts w:ascii="Times New Roman" w:eastAsia="Times New Roman" w:hAnsi="Times New Roman" w:cs="Times New Roman"/>
      <w:sz w:val="20"/>
      <w:szCs w:val="20"/>
    </w:rPr>
  </w:style>
  <w:style w:type="paragraph" w:styleId="ListParagraph">
    <w:name w:val="List Paragraph"/>
    <w:basedOn w:val="Normal"/>
    <w:uiPriority w:val="34"/>
    <w:qFormat/>
    <w:rsid w:val="00D05D1E"/>
    <w:pPr>
      <w:ind w:left="720"/>
      <w:contextualSpacing/>
    </w:pPr>
  </w:style>
  <w:style w:type="paragraph" w:styleId="Header">
    <w:name w:val="header"/>
    <w:basedOn w:val="Normal"/>
    <w:link w:val="HeaderChar"/>
    <w:uiPriority w:val="99"/>
    <w:unhideWhenUsed/>
    <w:rsid w:val="00BA3942"/>
    <w:pPr>
      <w:tabs>
        <w:tab w:val="center" w:pos="4680"/>
        <w:tab w:val="right" w:pos="9360"/>
      </w:tabs>
    </w:pPr>
  </w:style>
  <w:style w:type="character" w:customStyle="1" w:styleId="HeaderChar">
    <w:name w:val="Header Char"/>
    <w:basedOn w:val="DefaultParagraphFont"/>
    <w:link w:val="Header"/>
    <w:uiPriority w:val="99"/>
    <w:rsid w:val="00BA39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3942"/>
    <w:pPr>
      <w:tabs>
        <w:tab w:val="center" w:pos="4680"/>
        <w:tab w:val="right" w:pos="9360"/>
      </w:tabs>
    </w:pPr>
  </w:style>
  <w:style w:type="character" w:customStyle="1" w:styleId="FooterChar">
    <w:name w:val="Footer Char"/>
    <w:basedOn w:val="DefaultParagraphFont"/>
    <w:link w:val="Footer"/>
    <w:uiPriority w:val="99"/>
    <w:rsid w:val="00BA3942"/>
    <w:rPr>
      <w:rFonts w:ascii="Times New Roman" w:eastAsia="Times New Roman" w:hAnsi="Times New Roman" w:cs="Times New Roman"/>
      <w:sz w:val="24"/>
      <w:szCs w:val="24"/>
    </w:rPr>
  </w:style>
  <w:style w:type="character" w:styleId="Hyperlink">
    <w:name w:val="Hyperlink"/>
    <w:rsid w:val="000634C4"/>
    <w:rPr>
      <w:color w:val="0000FF"/>
      <w:u w:val="single"/>
    </w:rPr>
  </w:style>
  <w:style w:type="character" w:customStyle="1" w:styleId="UnresolvedMention1">
    <w:name w:val="Unresolved Mention1"/>
    <w:basedOn w:val="DefaultParagraphFont"/>
    <w:uiPriority w:val="99"/>
    <w:semiHidden/>
    <w:unhideWhenUsed/>
    <w:rsid w:val="000634C4"/>
    <w:rPr>
      <w:color w:val="605E5C"/>
      <w:shd w:val="clear" w:color="auto" w:fill="E1DFDD"/>
    </w:rPr>
  </w:style>
  <w:style w:type="paragraph" w:customStyle="1" w:styleId="Default">
    <w:name w:val="Default"/>
    <w:rsid w:val="00894A63"/>
    <w:pPr>
      <w:autoSpaceDE w:val="0"/>
      <w:autoSpaceDN w:val="0"/>
      <w:adjustRightInd w:val="0"/>
    </w:pPr>
    <w:rPr>
      <w:color w:val="000000"/>
    </w:rPr>
  </w:style>
  <w:style w:type="paragraph" w:styleId="CommentSubject">
    <w:name w:val="annotation subject"/>
    <w:basedOn w:val="CommentText"/>
    <w:next w:val="CommentText"/>
    <w:link w:val="CommentSubjectChar"/>
    <w:uiPriority w:val="99"/>
    <w:semiHidden/>
    <w:unhideWhenUsed/>
    <w:rsid w:val="00AF76E5"/>
    <w:rPr>
      <w:b/>
      <w:bCs/>
    </w:rPr>
  </w:style>
  <w:style w:type="character" w:customStyle="1" w:styleId="CommentSubjectChar">
    <w:name w:val="Comment Subject Char"/>
    <w:basedOn w:val="CommentTextChar"/>
    <w:link w:val="CommentSubject"/>
    <w:uiPriority w:val="99"/>
    <w:semiHidden/>
    <w:rsid w:val="00AF76E5"/>
    <w:rPr>
      <w:rFonts w:ascii="Times New Roman" w:eastAsia="Times New Roman" w:hAnsi="Times New Roman" w:cs="Times New Roman"/>
      <w:b/>
      <w:bCs/>
      <w:sz w:val="20"/>
      <w:szCs w:val="20"/>
    </w:rPr>
  </w:style>
  <w:style w:type="paragraph" w:styleId="Revision">
    <w:name w:val="Revision"/>
    <w:hidden/>
    <w:uiPriority w:val="99"/>
    <w:semiHidden/>
    <w:rsid w:val="00564DF9"/>
  </w:style>
  <w:style w:type="paragraph" w:styleId="BalloonText">
    <w:name w:val="Balloon Text"/>
    <w:basedOn w:val="Normal"/>
    <w:link w:val="BalloonTextChar"/>
    <w:uiPriority w:val="99"/>
    <w:semiHidden/>
    <w:unhideWhenUsed/>
    <w:rsid w:val="000D2A10"/>
    <w:rPr>
      <w:rFonts w:ascii="Tahoma" w:hAnsi="Tahoma" w:cs="Tahoma"/>
      <w:sz w:val="16"/>
      <w:szCs w:val="16"/>
    </w:rPr>
  </w:style>
  <w:style w:type="character" w:customStyle="1" w:styleId="BalloonTextChar">
    <w:name w:val="Balloon Text Char"/>
    <w:basedOn w:val="DefaultParagraphFont"/>
    <w:link w:val="BalloonText"/>
    <w:uiPriority w:val="99"/>
    <w:semiHidden/>
    <w:rsid w:val="000D2A10"/>
    <w:rPr>
      <w:rFonts w:ascii="Tahoma" w:eastAsia="Times New Roman" w:hAnsi="Tahoma" w:cs="Tahoma"/>
      <w:sz w:val="16"/>
      <w:szCs w:val="16"/>
    </w:rPr>
  </w:style>
  <w:style w:type="paragraph" w:customStyle="1" w:styleId="al">
    <w:name w:val="a_l"/>
    <w:basedOn w:val="Normal"/>
    <w:rsid w:val="001A318C"/>
    <w:pPr>
      <w:spacing w:before="100" w:beforeAutospacing="1" w:after="100" w:afterAutospacing="1"/>
    </w:pPr>
  </w:style>
  <w:style w:type="character" w:customStyle="1" w:styleId="UnresolvedMention2">
    <w:name w:val="Unresolved Mention2"/>
    <w:basedOn w:val="DefaultParagraphFont"/>
    <w:uiPriority w:val="99"/>
    <w:semiHidden/>
    <w:unhideWhenUsed/>
    <w:rsid w:val="00626D54"/>
    <w:rPr>
      <w:color w:val="605E5C"/>
      <w:shd w:val="clear" w:color="auto" w:fill="E1DFDD"/>
    </w:rPr>
  </w:style>
  <w:style w:type="character" w:customStyle="1" w:styleId="UnresolvedMention3">
    <w:name w:val="Unresolved Mention3"/>
    <w:basedOn w:val="DefaultParagraphFont"/>
    <w:uiPriority w:val="99"/>
    <w:semiHidden/>
    <w:unhideWhenUsed/>
    <w:rsid w:val="008D1675"/>
    <w:rPr>
      <w:color w:val="605E5C"/>
      <w:shd w:val="clear" w:color="auto" w:fill="E1DFDD"/>
    </w:rPr>
  </w:style>
  <w:style w:type="paragraph" w:styleId="FootnoteText">
    <w:name w:val="footnote text"/>
    <w:aliases w:val="Schriftart: 9 pt,Schriftart: 10 pt,Schriftart: 8 pt,Voetnoottekst Char1,Voetnoottekst Char2 Char,Voetnoottekst Char1 Char Char,Voetnoottekst Char3 Char Char Char,Voetnoottekst Char2 Char Char Char Char,Voetnoottekst Char,fn"/>
    <w:basedOn w:val="Normal"/>
    <w:link w:val="FootnoteTextChar"/>
    <w:uiPriority w:val="99"/>
    <w:unhideWhenUsed/>
    <w:qFormat/>
    <w:rsid w:val="00340C80"/>
    <w:rPr>
      <w:sz w:val="20"/>
      <w:szCs w:val="20"/>
    </w:rPr>
  </w:style>
  <w:style w:type="character" w:customStyle="1" w:styleId="FootnoteTextChar">
    <w:name w:val="Footnote Text Char"/>
    <w:aliases w:val="Schriftart: 9 pt Char,Schriftart: 10 pt Char,Schriftart: 8 pt Char,Voetnoottekst Char1 Char,Voetnoottekst Char2 Char Char,Voetnoottekst Char1 Char Char Char,Voetnoottekst Char3 Char Char Char Char,Voetnoottekst Char Char,fn Char"/>
    <w:basedOn w:val="DefaultParagraphFont"/>
    <w:link w:val="FootnoteText"/>
    <w:uiPriority w:val="99"/>
    <w:qFormat/>
    <w:rsid w:val="00340C80"/>
    <w:rPr>
      <w:rFonts w:ascii="Times New Roman" w:eastAsia="Times New Roman" w:hAnsi="Times New Roman" w:cs="Times New Roman"/>
      <w:sz w:val="20"/>
      <w:szCs w:val="20"/>
    </w:rPr>
  </w:style>
  <w:style w:type="character" w:styleId="FootnoteReference">
    <w:name w:val="footnote reference"/>
    <w:aliases w:val="SUPERS,EN Footnote Reference,Footnote symbol,Footnote reference number,Times 10 Point,Exposant 3 Point,Ref,de nota al pie,note TESI,number,-E Fußnotenzeichen,stylish,ftref,16 Point,Superscript 6 Point,FR,BVI fnr,o,Style 6,fr"/>
    <w:basedOn w:val="DefaultParagraphFont"/>
    <w:link w:val="SUPERSChar"/>
    <w:uiPriority w:val="99"/>
    <w:unhideWhenUsed/>
    <w:qFormat/>
    <w:rsid w:val="00340C80"/>
    <w:rPr>
      <w:vertAlign w:val="superscript"/>
    </w:rPr>
  </w:style>
  <w:style w:type="paragraph" w:styleId="Subtitle">
    <w:name w:val="Subtitle"/>
    <w:basedOn w:val="Normal"/>
    <w:next w:val="Normal"/>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6671B4"/>
    <w:rPr>
      <w:rFonts w:eastAsiaTheme="minorEastAsia"/>
      <w:color w:val="5A5A5A" w:themeColor="text1" w:themeTint="A5"/>
      <w:spacing w:val="15"/>
    </w:rPr>
  </w:style>
  <w:style w:type="character" w:customStyle="1" w:styleId="Heading2Char">
    <w:name w:val="Heading 2 Char"/>
    <w:basedOn w:val="DefaultParagraphFont"/>
    <w:link w:val="Heading2"/>
    <w:uiPriority w:val="9"/>
    <w:semiHidden/>
    <w:rsid w:val="00FC344E"/>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B347ED"/>
    <w:pPr>
      <w:widowControl w:val="0"/>
      <w:autoSpaceDE w:val="0"/>
      <w:autoSpaceDN w:val="0"/>
    </w:pPr>
  </w:style>
  <w:style w:type="character" w:customStyle="1" w:styleId="BodyTextChar">
    <w:name w:val="Body Text Char"/>
    <w:basedOn w:val="DefaultParagraphFont"/>
    <w:link w:val="BodyText"/>
    <w:uiPriority w:val="1"/>
    <w:rsid w:val="00B347ED"/>
    <w:rPr>
      <w:rFonts w:ascii="Times New Roman" w:eastAsia="Times New Roman" w:hAnsi="Times New Roman" w:cs="Times New Roman"/>
      <w:sz w:val="24"/>
      <w:szCs w:val="24"/>
    </w:rPr>
  </w:style>
  <w:style w:type="paragraph" w:customStyle="1" w:styleId="SUPERSChar">
    <w:name w:val="SUPERS Char"/>
    <w:aliases w:val="EN Footnote Reference Char"/>
    <w:basedOn w:val="Normal"/>
    <w:link w:val="FootnoteReference"/>
    <w:uiPriority w:val="99"/>
    <w:rsid w:val="00B347ED"/>
    <w:pPr>
      <w:spacing w:after="160" w:line="240" w:lineRule="exact"/>
    </w:pPr>
    <w:rPr>
      <w:rFonts w:asciiTheme="minorHAnsi" w:eastAsiaTheme="minorHAnsi" w:hAnsiTheme="minorHAnsi" w:cstheme="minorBidi"/>
      <w:sz w:val="22"/>
      <w:szCs w:val="22"/>
      <w:vertAlign w:val="superscript"/>
    </w:rPr>
  </w:style>
  <w:style w:type="paragraph" w:styleId="NormalWeb">
    <w:name w:val="Normal (Web)"/>
    <w:basedOn w:val="Normal"/>
    <w:uiPriority w:val="99"/>
    <w:semiHidden/>
    <w:unhideWhenUsed/>
    <w:rsid w:val="00E16C10"/>
  </w:style>
  <w:style w:type="character" w:styleId="Strong">
    <w:name w:val="Strong"/>
    <w:basedOn w:val="DefaultParagraphFont"/>
    <w:uiPriority w:val="22"/>
    <w:qFormat/>
    <w:rsid w:val="0026506B"/>
    <w:rPr>
      <w:b/>
      <w:bCs/>
    </w:rPr>
  </w:style>
  <w:style w:type="character" w:customStyle="1" w:styleId="Heading3Char">
    <w:name w:val="Heading 3 Char"/>
    <w:basedOn w:val="DefaultParagraphFont"/>
    <w:link w:val="Heading3"/>
    <w:uiPriority w:val="9"/>
    <w:rsid w:val="008903B9"/>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6E348E"/>
    <w:rPr>
      <w:color w:val="605E5C"/>
      <w:shd w:val="clear" w:color="auto" w:fill="E1DFDD"/>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oeil.secure.europarl.europa.eu/oeil/popups/ficheprocedure.do?lang=fr&amp;reference=2019/2189(INI)"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J38Fncg403oJvowRWn/RDYqbkA==">CgMxLjAyCGguZ2pkZ3hzMgloLjMwajB6bGwyCWguMWZvYjl0ZTgAaisKFHN1Z2dlc3QuaW9yaGE0cjh5djI3EhNBbmRyZWkgTmljb2xhZSBQb3BhaisKFHN1Z2dlc3QudWtzcnQwMzluMnY1EhNBbmRyZWkgTmljb2xhZSBQb3BhaisKFHN1Z2dlc3QuZmI4cGd6NXlvMnU2EhNBbmRyZWkgTmljb2xhZSBQb3BhaisKFHN1Z2dlc3QuMndsa2V0ODZoZzNsEhNBbmRyZWkgTmljb2xhZSBQb3BhaisKFHN1Z2dlc3Quc2psajg4cWd3eHplEhNBbmRyZWkgTmljb2xhZSBQb3BhaisKFHN1Z2dlc3QuN2FoZ2NtMXVrMDNqEhNBbmRyZWkgTmljb2xhZSBQb3BhaisKFHN1Z2dlc3QuY2p5YTB3NXhraHR3EhNBbmRyZWkgTmljb2xhZSBQb3BhaisKFHN1Z2dlc3QucHd5eDVsNnRrdmNiEhNBbmRyZWkgTmljb2xhZSBQb3BhciExcXN0UVFFblNRLThNcXIta3RqUjJENkgySkRnUURjOHU=</go:docsCustomData>
</go:gDocsCustomXmlDataStorage>
</file>

<file path=customXml/itemProps1.xml><?xml version="1.0" encoding="utf-8"?>
<ds:datastoreItem xmlns:ds="http://schemas.openxmlformats.org/officeDocument/2006/customXml" ds:itemID="{2177A889-52D7-4D97-ACC7-FCAD109039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6824</Words>
  <Characters>38900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Simona.Tudor</dc:creator>
  <cp:lastModifiedBy>Alina Voicu</cp:lastModifiedBy>
  <cp:revision>2</cp:revision>
  <cp:lastPrinted>2024-10-29T14:44:00Z</cp:lastPrinted>
  <dcterms:created xsi:type="dcterms:W3CDTF">2024-10-29T16:27:00Z</dcterms:created>
  <dcterms:modified xsi:type="dcterms:W3CDTF">2024-10-29T16:27:00Z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c3c9f575afed9625dd4f1716f47d7be2d25a731fc2e8744d6f9dade1ca995848</vt:lpwstr>
  </property>
</Properties>
</file>